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CC6B" w14:textId="51DB973A" w:rsidR="00D36E41" w:rsidRDefault="00251BC7" w:rsidP="00D36E41">
      <w:r>
        <w:rPr>
          <w:rFonts w:ascii="Arial" w:hAnsi="Arial" w:cs="Arial"/>
          <w:color w:val="001489"/>
        </w:rPr>
        <w:pict w14:anchorId="6A72D17D">
          <v:rect id="_x0000_i1025" style="width:0;height:1.5pt" o:hralign="center" o:hrstd="t" o:hr="t" fillcolor="#a0a0a0" stroked="f"/>
        </w:pict>
      </w:r>
    </w:p>
    <w:p w14:paraId="3A2F1796" w14:textId="77777777" w:rsidR="00D36E41" w:rsidRDefault="00D36E41" w:rsidP="00D36E41">
      <w:pPr>
        <w:pStyle w:val="Heading1"/>
      </w:pPr>
      <w:r>
        <w:t>FINANCIAL POLICIES AND PROCEDURES</w:t>
      </w:r>
    </w:p>
    <w:p w14:paraId="3BA8B2EE" w14:textId="2E8518AA" w:rsidR="00D36E41" w:rsidRDefault="00251BC7" w:rsidP="00D36E41">
      <w:r>
        <w:rPr>
          <w:rFonts w:ascii="Arial" w:hAnsi="Arial" w:cs="Arial"/>
          <w:color w:val="001489"/>
        </w:rPr>
        <w:pict w14:anchorId="7BB37464">
          <v:rect id="_x0000_i1026" style="width:0;height:1.5pt" o:hralign="center" o:hrstd="t" o:hr="t" fillcolor="#a0a0a0" stroked="f"/>
        </w:pict>
      </w:r>
    </w:p>
    <w:p w14:paraId="51E51B58" w14:textId="77777777" w:rsidR="00D36E41" w:rsidRDefault="00D36E41" w:rsidP="00D36E41">
      <w:pPr>
        <w:pStyle w:val="Heading2"/>
      </w:pPr>
      <w:r>
        <w:t>SECTION 4:</w:t>
      </w:r>
      <w:r>
        <w:tab/>
        <w:t>REVENUE</w:t>
      </w:r>
    </w:p>
    <w:p w14:paraId="5D56D25D" w14:textId="77777777" w:rsidR="00D36E41" w:rsidRDefault="00D36E41" w:rsidP="00D36E41">
      <w:pPr>
        <w:pStyle w:val="Heading2"/>
      </w:pPr>
      <w:r>
        <w:t>POLICY 3:</w:t>
      </w:r>
      <w:r>
        <w:tab/>
        <w:t>REVENUE &amp; RECEIPTING</w:t>
      </w:r>
      <w:r>
        <w:tab/>
      </w:r>
    </w:p>
    <w:p w14:paraId="26BB1875" w14:textId="77777777" w:rsidR="00D36E41" w:rsidRDefault="00D36E41" w:rsidP="00D36E41">
      <w:pPr>
        <w:pStyle w:val="Heading3"/>
      </w:pPr>
    </w:p>
    <w:p w14:paraId="3A56E5AC" w14:textId="60EE0823" w:rsidR="00D36E41" w:rsidRDefault="00D36E41" w:rsidP="00D36E41">
      <w:pPr>
        <w:pStyle w:val="Heading3"/>
      </w:pPr>
      <w:r>
        <w:t>Policy Rationale</w:t>
      </w:r>
      <w:r>
        <w:tab/>
      </w:r>
    </w:p>
    <w:p w14:paraId="66D119FE" w14:textId="1D899157" w:rsidR="00D36E41" w:rsidRDefault="00D36E41" w:rsidP="00D36E41">
      <w:r>
        <w:br/>
      </w:r>
      <w:r w:rsidRPr="00D36E41">
        <w:rPr>
          <w:rFonts w:cstheme="minorHAnsi"/>
          <w:color w:val="001489"/>
        </w:rPr>
        <w:t>[organisation]</w:t>
      </w:r>
      <w:r>
        <w:t xml:space="preserve"> revenue streams will be invoiced and receipted in a timely and professional manner, so our clients have utmost faith in us and respect for our service deliveries. </w:t>
      </w:r>
    </w:p>
    <w:p w14:paraId="7EDF07CD" w14:textId="77777777" w:rsidR="00D36E41" w:rsidRDefault="00D36E41" w:rsidP="00D36E41">
      <w:r w:rsidRPr="00D36E41">
        <w:rPr>
          <w:rFonts w:cstheme="minorHAnsi"/>
          <w:color w:val="001489"/>
        </w:rPr>
        <w:t>[organisation]</w:t>
      </w:r>
      <w:r>
        <w:t xml:space="preserve"> will also receipt revenue received in a timely and systematic manner </w:t>
      </w:r>
      <w:proofErr w:type="gramStart"/>
      <w:r>
        <w:t>in order to</w:t>
      </w:r>
      <w:proofErr w:type="gramEnd"/>
      <w:r>
        <w:t xml:space="preserve"> safeguard the organisation from fraud and or mismanagement.</w:t>
      </w:r>
    </w:p>
    <w:p w14:paraId="2B81B158" w14:textId="77777777" w:rsidR="00D36E41" w:rsidRDefault="00D36E41" w:rsidP="00D36E41">
      <w:pPr>
        <w:pStyle w:val="Heading3"/>
      </w:pPr>
      <w:r>
        <w:t>Policy Statement(s)</w:t>
      </w:r>
      <w:r>
        <w:tab/>
      </w:r>
    </w:p>
    <w:p w14:paraId="4D3B3E34" w14:textId="67C0C57C" w:rsidR="00D36E41" w:rsidRDefault="00D36E41" w:rsidP="00D36E41">
      <w:r>
        <w:br/>
        <w:t xml:space="preserve">Any activities associated with the generation or receipting of </w:t>
      </w:r>
      <w:r w:rsidRPr="00D36E41">
        <w:rPr>
          <w:rFonts w:cstheme="minorHAnsi"/>
          <w:color w:val="001489"/>
        </w:rPr>
        <w:t>[organisation]</w:t>
      </w:r>
      <w:r>
        <w:t xml:space="preserve">’s revenues should be conducted in accordance with </w:t>
      </w:r>
      <w:r w:rsidRPr="00D36E41">
        <w:rPr>
          <w:rFonts w:cstheme="minorHAnsi"/>
          <w:color w:val="001489"/>
        </w:rPr>
        <w:t>[organisation]</w:t>
      </w:r>
      <w:r>
        <w:t>’s Delegated Authorities.</w:t>
      </w:r>
    </w:p>
    <w:p w14:paraId="74CE3F1B" w14:textId="77777777" w:rsidR="00D36E41" w:rsidRDefault="00D36E41" w:rsidP="00D36E41">
      <w:r w:rsidRPr="00D36E41">
        <w:rPr>
          <w:rFonts w:cstheme="minorHAnsi"/>
          <w:color w:val="001489"/>
        </w:rPr>
        <w:t>[organisation]</w:t>
      </w:r>
      <w:r>
        <w:t xml:space="preserve"> shall implement appropriate controls over the generation and administration of revenue invoices to ensure:</w:t>
      </w:r>
    </w:p>
    <w:p w14:paraId="2757F66E" w14:textId="41DCD819" w:rsidR="00D36E41" w:rsidRDefault="00D36E41" w:rsidP="006F6DDE">
      <w:pPr>
        <w:pStyle w:val="ListParagraph"/>
        <w:numPr>
          <w:ilvl w:val="0"/>
          <w:numId w:val="2"/>
        </w:numPr>
      </w:pPr>
      <w:r>
        <w:t xml:space="preserve">There are appropriate financial systems and procedures in place to manage debtor records and </w:t>
      </w:r>
      <w:proofErr w:type="gramStart"/>
      <w:r>
        <w:t>invoicing</w:t>
      </w:r>
      <w:proofErr w:type="gramEnd"/>
    </w:p>
    <w:p w14:paraId="7495AB1B" w14:textId="23D03927" w:rsidR="00D36E41" w:rsidRDefault="00D36E41" w:rsidP="006F6DDE">
      <w:pPr>
        <w:pStyle w:val="ListParagraph"/>
        <w:numPr>
          <w:ilvl w:val="0"/>
          <w:numId w:val="2"/>
        </w:numPr>
      </w:pPr>
      <w:r>
        <w:t xml:space="preserve">Invoices are generated and sent to debtors in an accurate and timely manner with clear payment </w:t>
      </w:r>
      <w:proofErr w:type="gramStart"/>
      <w:r>
        <w:t>terms</w:t>
      </w:r>
      <w:proofErr w:type="gramEnd"/>
    </w:p>
    <w:p w14:paraId="2CD22026" w14:textId="123F4E24" w:rsidR="00D36E41" w:rsidRDefault="00D36E41" w:rsidP="006F6DDE">
      <w:pPr>
        <w:pStyle w:val="ListParagraph"/>
        <w:numPr>
          <w:ilvl w:val="0"/>
          <w:numId w:val="2"/>
        </w:numPr>
      </w:pPr>
      <w:r>
        <w:t xml:space="preserve">That invoices raised by </w:t>
      </w:r>
      <w:r w:rsidRPr="006F6DDE">
        <w:rPr>
          <w:rFonts w:cstheme="minorHAnsi"/>
          <w:color w:val="001489"/>
        </w:rPr>
        <w:t>[organisation]</w:t>
      </w:r>
      <w:r>
        <w:t xml:space="preserve"> and transactions entered within </w:t>
      </w:r>
      <w:r w:rsidRPr="006F6DDE">
        <w:rPr>
          <w:rFonts w:cstheme="minorHAnsi"/>
          <w:color w:val="001489"/>
        </w:rPr>
        <w:t>[organisation]</w:t>
      </w:r>
      <w:r>
        <w:t xml:space="preserve"> ‘s accounting systems disclose all information as may be required under any binding legislation, </w:t>
      </w:r>
      <w:proofErr w:type="gramStart"/>
      <w:r>
        <w:t>e.g.</w:t>
      </w:r>
      <w:proofErr w:type="gramEnd"/>
      <w:r>
        <w:t xml:space="preserve"> details required to be included on an invoice for tax purposes</w:t>
      </w:r>
    </w:p>
    <w:p w14:paraId="142816AB" w14:textId="77777777" w:rsidR="00D36E41" w:rsidRDefault="00D36E41" w:rsidP="00D36E41">
      <w:r w:rsidRPr="00D36E41">
        <w:rPr>
          <w:rFonts w:cstheme="minorHAnsi"/>
          <w:color w:val="001489"/>
        </w:rPr>
        <w:t>[organisation]</w:t>
      </w:r>
      <w:r>
        <w:t>’s receipting of revenue will be in accordance with the following:</w:t>
      </w:r>
    </w:p>
    <w:p w14:paraId="60FA4ED3" w14:textId="1B8D7771" w:rsidR="00D36E41" w:rsidRDefault="00D36E41" w:rsidP="006F6DDE">
      <w:pPr>
        <w:pStyle w:val="ListParagraph"/>
        <w:numPr>
          <w:ilvl w:val="0"/>
          <w:numId w:val="4"/>
        </w:numPr>
      </w:pPr>
      <w:r>
        <w:t>Any cash receipts are to be kept securely and banked within three working days. Where sums held are significant banking should be mo</w:t>
      </w:r>
      <w:r w:rsidR="00A70700">
        <w:t>r</w:t>
      </w:r>
      <w:r>
        <w:t>e frequent.</w:t>
      </w:r>
    </w:p>
    <w:p w14:paraId="7DAED109" w14:textId="6F4E0068" w:rsidR="00D36E41" w:rsidRDefault="00D36E41" w:rsidP="006F6DDE">
      <w:pPr>
        <w:pStyle w:val="ListParagraph"/>
        <w:numPr>
          <w:ilvl w:val="0"/>
          <w:numId w:val="4"/>
        </w:numPr>
      </w:pPr>
      <w:r>
        <w:t xml:space="preserve">Where possible, </w:t>
      </w:r>
      <w:r w:rsidRPr="006F6DDE">
        <w:rPr>
          <w:rFonts w:cstheme="minorHAnsi"/>
          <w:color w:val="001489"/>
        </w:rPr>
        <w:t>[organisation]</w:t>
      </w:r>
      <w:r>
        <w:t xml:space="preserve"> should request payment by direct debit, automatic payment or direct credit in order to minimise its cash fraud </w:t>
      </w:r>
      <w:proofErr w:type="gramStart"/>
      <w:r>
        <w:t>risk</w:t>
      </w:r>
      <w:proofErr w:type="gramEnd"/>
    </w:p>
    <w:p w14:paraId="3696450D" w14:textId="34AAE903" w:rsidR="00D36E41" w:rsidRDefault="00D36E41" w:rsidP="006F6DDE">
      <w:pPr>
        <w:pStyle w:val="ListParagraph"/>
        <w:numPr>
          <w:ilvl w:val="0"/>
          <w:numId w:val="4"/>
        </w:numPr>
      </w:pPr>
      <w:r>
        <w:t xml:space="preserve">All receipts must be recorded against whom the funds were received from and for which invoice (or sales item where invoice unknown) and </w:t>
      </w:r>
      <w:proofErr w:type="gramStart"/>
      <w:r>
        <w:t>entered into</w:t>
      </w:r>
      <w:proofErr w:type="gramEnd"/>
      <w:r>
        <w:t xml:space="preserve"> the accounting system as soon as practicable. </w:t>
      </w:r>
    </w:p>
    <w:p w14:paraId="3DE3C416" w14:textId="59EADC11" w:rsidR="00D36E41" w:rsidRDefault="00D36E41" w:rsidP="006F6DDE">
      <w:pPr>
        <w:pStyle w:val="ListParagraph"/>
        <w:numPr>
          <w:ilvl w:val="0"/>
          <w:numId w:val="4"/>
        </w:numPr>
      </w:pPr>
      <w:r>
        <w:t xml:space="preserve">Any remittance advices or other documents accompanying the payment should be retained and </w:t>
      </w:r>
      <w:proofErr w:type="gramStart"/>
      <w:r>
        <w:t>filed</w:t>
      </w:r>
      <w:proofErr w:type="gramEnd"/>
    </w:p>
    <w:p w14:paraId="65E65AF4" w14:textId="6598F9B3" w:rsidR="00D36E41" w:rsidRDefault="00D36E41" w:rsidP="006F6DDE">
      <w:pPr>
        <w:pStyle w:val="ListParagraph"/>
        <w:numPr>
          <w:ilvl w:val="0"/>
          <w:numId w:val="4"/>
        </w:numPr>
      </w:pPr>
      <w:r>
        <w:t>Revenue received via Credit Card payment should be processed as soon as practicable.  Procedures for failed processing or later rejection will be documented by the CFO / Finance Manager</w:t>
      </w:r>
    </w:p>
    <w:p w14:paraId="4564784E" w14:textId="77777777" w:rsidR="00D36E41" w:rsidRDefault="00D36E41" w:rsidP="00D36E41">
      <w:pPr>
        <w:pStyle w:val="Heading3"/>
      </w:pPr>
      <w:r>
        <w:lastRenderedPageBreak/>
        <w:t>Policy Implementation and Related Procedure Documents</w:t>
      </w:r>
      <w:r>
        <w:tab/>
      </w:r>
    </w:p>
    <w:p w14:paraId="513C301C" w14:textId="69651F0E" w:rsidR="00D36E41" w:rsidRDefault="00D36E41" w:rsidP="00D36E41">
      <w:r>
        <w:br/>
        <w:t xml:space="preserve">The implementation and review of these Revenue &amp; Receipting policies are the responsibility of </w:t>
      </w:r>
      <w:r w:rsidRPr="00D36E41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0D0E8A7A" w14:textId="77777777" w:rsidR="00D36E41" w:rsidRDefault="00D36E41" w:rsidP="00D36E41">
      <w:r w:rsidRPr="00D36E41">
        <w:rPr>
          <w:rFonts w:cstheme="minorHAnsi"/>
          <w:color w:val="001489"/>
        </w:rPr>
        <w:t>[organisation]</w:t>
      </w:r>
      <w:r>
        <w:t>’s Audit, Finance &amp; Risk Committee may request that the External Auditors review revenue and receipting as part of the annual audit.</w:t>
      </w:r>
    </w:p>
    <w:p w14:paraId="01E317CE" w14:textId="77777777" w:rsidR="00D36E41" w:rsidRDefault="00D36E41" w:rsidP="00D36E41">
      <w:r w:rsidRPr="00D36E41">
        <w:rPr>
          <w:rFonts w:cstheme="minorHAnsi"/>
          <w:color w:val="001489"/>
        </w:rPr>
        <w:t>[organisation]</w:t>
      </w:r>
      <w:r>
        <w:t>’s CFO / Finance Manager is responsible for the:</w:t>
      </w:r>
    </w:p>
    <w:p w14:paraId="0014F722" w14:textId="4A10D602" w:rsidR="00D36E41" w:rsidRDefault="00D36E41" w:rsidP="006F6DDE">
      <w:pPr>
        <w:pStyle w:val="ListParagraph"/>
        <w:numPr>
          <w:ilvl w:val="0"/>
          <w:numId w:val="6"/>
        </w:numPr>
      </w:pPr>
      <w:r>
        <w:t xml:space="preserve">Implementation, review and monitoring of the systems and procedures relating to invoicing and debtor </w:t>
      </w:r>
      <w:proofErr w:type="gramStart"/>
      <w:r>
        <w:t>management</w:t>
      </w:r>
      <w:proofErr w:type="gramEnd"/>
    </w:p>
    <w:p w14:paraId="3F5976CC" w14:textId="7AAAAE48" w:rsidR="00D36E41" w:rsidRDefault="00D36E41" w:rsidP="006F6DDE">
      <w:pPr>
        <w:pStyle w:val="ListParagraph"/>
        <w:numPr>
          <w:ilvl w:val="0"/>
          <w:numId w:val="6"/>
        </w:numPr>
      </w:pPr>
      <w:r>
        <w:t xml:space="preserve">Implementation, review and monitoring of the systems and procedures relating to receipting of </w:t>
      </w:r>
      <w:proofErr w:type="gramStart"/>
      <w:r>
        <w:t>revenue</w:t>
      </w:r>
      <w:proofErr w:type="gramEnd"/>
    </w:p>
    <w:p w14:paraId="662F375C" w14:textId="48663F8D" w:rsidR="00D36E41" w:rsidRDefault="00D36E41" w:rsidP="006F6DDE">
      <w:pPr>
        <w:pStyle w:val="ListParagraph"/>
        <w:numPr>
          <w:ilvl w:val="0"/>
          <w:numId w:val="6"/>
        </w:numPr>
      </w:pPr>
      <w:r>
        <w:t xml:space="preserve">Provision of training to those staff dealing with </w:t>
      </w:r>
      <w:r w:rsidRPr="006F6DDE">
        <w:rPr>
          <w:rFonts w:cstheme="minorHAnsi"/>
          <w:color w:val="001489"/>
        </w:rPr>
        <w:t>[organisation]</w:t>
      </w:r>
      <w:r>
        <w:t>’s revenue receipts.</w:t>
      </w:r>
    </w:p>
    <w:p w14:paraId="3C6BA9BA" w14:textId="77777777" w:rsidR="00D36E41" w:rsidRDefault="00D36E41" w:rsidP="00D36E41">
      <w:r>
        <w:t xml:space="preserve">The following </w:t>
      </w:r>
      <w:r w:rsidRPr="00D36E41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095B0E3A" w14:textId="238EEBB8" w:rsidR="00D36E41" w:rsidRDefault="00D36E41" w:rsidP="006F6DDE">
      <w:pPr>
        <w:pStyle w:val="ListParagraph"/>
        <w:numPr>
          <w:ilvl w:val="0"/>
          <w:numId w:val="8"/>
        </w:numPr>
      </w:pPr>
      <w:r>
        <w:t>Finance Manual</w:t>
      </w:r>
    </w:p>
    <w:p w14:paraId="053D8FC1" w14:textId="18602668" w:rsidR="00D36E41" w:rsidRDefault="00D36E41" w:rsidP="006F6DDE">
      <w:pPr>
        <w:pStyle w:val="ListParagraph"/>
        <w:numPr>
          <w:ilvl w:val="0"/>
          <w:numId w:val="8"/>
        </w:numPr>
      </w:pPr>
      <w:r>
        <w:t>Accountability, Internal Controls &amp; Audit Policy</w:t>
      </w:r>
    </w:p>
    <w:p w14:paraId="25C099EF" w14:textId="03476E5D" w:rsidR="00D36E41" w:rsidRDefault="00D36E41" w:rsidP="006F6DDE">
      <w:pPr>
        <w:pStyle w:val="ListParagraph"/>
        <w:numPr>
          <w:ilvl w:val="0"/>
          <w:numId w:val="8"/>
        </w:numPr>
      </w:pPr>
      <w:r>
        <w:t>Financial Systems &amp; Procedures Policy</w:t>
      </w:r>
    </w:p>
    <w:p w14:paraId="68DE2FDA" w14:textId="0D3ED130" w:rsidR="00D36E41" w:rsidRDefault="00D36E41" w:rsidP="006F6DDE">
      <w:pPr>
        <w:pStyle w:val="ListParagraph"/>
        <w:numPr>
          <w:ilvl w:val="0"/>
          <w:numId w:val="8"/>
        </w:numPr>
      </w:pPr>
      <w:r>
        <w:t>Receivables Policy</w:t>
      </w:r>
    </w:p>
    <w:p w14:paraId="2EDEA9B8" w14:textId="4525740D" w:rsidR="00D36E41" w:rsidRDefault="00D36E41" w:rsidP="006F6DDE">
      <w:pPr>
        <w:pStyle w:val="ListParagraph"/>
        <w:numPr>
          <w:ilvl w:val="0"/>
          <w:numId w:val="8"/>
        </w:numPr>
      </w:pPr>
      <w:r>
        <w:t>Bank Accounts Policy</w:t>
      </w:r>
    </w:p>
    <w:p w14:paraId="2F21C46C" w14:textId="3DE0B600" w:rsidR="00D36E41" w:rsidRDefault="00D36E41" w:rsidP="006F6DDE">
      <w:pPr>
        <w:pStyle w:val="ListParagraph"/>
        <w:numPr>
          <w:ilvl w:val="0"/>
          <w:numId w:val="8"/>
        </w:numPr>
      </w:pPr>
      <w:r>
        <w:t>Credit Card Policy</w:t>
      </w:r>
    </w:p>
    <w:p w14:paraId="3D792F23" w14:textId="5118B0DB" w:rsidR="00D36E41" w:rsidRDefault="00D36E41" w:rsidP="006F6DDE">
      <w:pPr>
        <w:pStyle w:val="ListParagraph"/>
        <w:numPr>
          <w:ilvl w:val="0"/>
          <w:numId w:val="8"/>
        </w:numPr>
      </w:pPr>
      <w:r>
        <w:t>Fraud Policy</w:t>
      </w:r>
    </w:p>
    <w:p w14:paraId="6D122BA0" w14:textId="2CC0BAC3" w:rsidR="00D36E41" w:rsidRDefault="00D36E41" w:rsidP="006F6DDE">
      <w:pPr>
        <w:pStyle w:val="ListParagraph"/>
        <w:numPr>
          <w:ilvl w:val="0"/>
          <w:numId w:val="8"/>
        </w:numPr>
      </w:pPr>
      <w:r>
        <w:t>Debt Collection &amp; Write Off</w:t>
      </w:r>
    </w:p>
    <w:p w14:paraId="6D209820" w14:textId="4F71115A" w:rsidR="00D36E41" w:rsidRDefault="00D36E41" w:rsidP="006F6DDE">
      <w:pPr>
        <w:pStyle w:val="ListParagraph"/>
        <w:numPr>
          <w:ilvl w:val="0"/>
          <w:numId w:val="8"/>
        </w:numPr>
      </w:pPr>
      <w:r>
        <w:t>Records management and Data Security Policy</w:t>
      </w:r>
    </w:p>
    <w:p w14:paraId="6463BA46" w14:textId="67654356" w:rsidR="00D36E41" w:rsidRDefault="00D36E41" w:rsidP="00D36E41">
      <w:pPr>
        <w:pStyle w:val="Heading3"/>
      </w:pPr>
      <w:r>
        <w:t>Legislative Compliance Considerations</w:t>
      </w:r>
      <w:r>
        <w:br/>
      </w:r>
      <w:r>
        <w:tab/>
      </w:r>
    </w:p>
    <w:p w14:paraId="1678FF56" w14:textId="5B028920" w:rsidR="00D36E41" w:rsidRDefault="00D36E41" w:rsidP="006F6DDE">
      <w:pPr>
        <w:pStyle w:val="ListParagraph"/>
        <w:numPr>
          <w:ilvl w:val="0"/>
          <w:numId w:val="8"/>
        </w:numPr>
      </w:pPr>
      <w:r>
        <w:t>Goods and Services Tax Act 1985</w:t>
      </w:r>
    </w:p>
    <w:p w14:paraId="3AE83586" w14:textId="62C85D32" w:rsidR="00D36E41" w:rsidRDefault="00D36E41" w:rsidP="006F6DDE">
      <w:pPr>
        <w:pStyle w:val="ListParagraph"/>
        <w:numPr>
          <w:ilvl w:val="0"/>
          <w:numId w:val="8"/>
        </w:numPr>
      </w:pPr>
      <w:r>
        <w:t>Income Tax Act 2007</w:t>
      </w:r>
    </w:p>
    <w:p w14:paraId="48946F46" w14:textId="0F9B58CF" w:rsidR="00AC5F2A" w:rsidRDefault="00D36E41" w:rsidP="00D36E41">
      <w:pPr>
        <w:pStyle w:val="Heading3"/>
      </w:pPr>
      <w:r>
        <w:t>Review Protocol</w:t>
      </w:r>
      <w:r>
        <w:br/>
      </w:r>
      <w:r>
        <w:tab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D36E41" w:rsidRPr="000D0267" w14:paraId="4AA4C9CE" w14:textId="77777777" w:rsidTr="005E236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554" w14:textId="77777777" w:rsidR="00D36E41" w:rsidRPr="000D0267" w:rsidRDefault="00D36E41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F37" w14:textId="77777777" w:rsidR="00D36E41" w:rsidRPr="000D0267" w:rsidRDefault="00D36E41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D36E41" w:rsidRPr="000D0267" w14:paraId="640D9A41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C219" w14:textId="77777777" w:rsidR="00D36E41" w:rsidRPr="000D0267" w:rsidRDefault="00D36E41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FFE4" w14:textId="77777777" w:rsidR="00D36E41" w:rsidRPr="000D0267" w:rsidRDefault="00D36E41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D36E41" w:rsidRPr="000D0267" w14:paraId="5D0405CB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93F0" w14:textId="77777777" w:rsidR="00D36E41" w:rsidRPr="000D0267" w:rsidRDefault="00D36E41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66B5" w14:textId="77777777" w:rsidR="00D36E41" w:rsidRPr="000D0267" w:rsidRDefault="00D36E41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D36E41" w:rsidRPr="000D0267" w14:paraId="60509CC7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26FE" w14:textId="77777777" w:rsidR="00D36E41" w:rsidRPr="000D0267" w:rsidRDefault="00D36E41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CDD8" w14:textId="77777777" w:rsidR="00D36E41" w:rsidRPr="000D0267" w:rsidRDefault="00D36E41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352AE763" w14:textId="77777777" w:rsidR="00D36E41" w:rsidRPr="00D36E41" w:rsidRDefault="00D36E41" w:rsidP="00D36E41"/>
    <w:sectPr w:rsidR="00D36E41" w:rsidRPr="00D36E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2278" w14:textId="77777777" w:rsidR="00251BC7" w:rsidRDefault="00251BC7" w:rsidP="00251BC7">
      <w:pPr>
        <w:spacing w:after="0" w:line="240" w:lineRule="auto"/>
      </w:pPr>
      <w:r>
        <w:separator/>
      </w:r>
    </w:p>
  </w:endnote>
  <w:endnote w:type="continuationSeparator" w:id="0">
    <w:p w14:paraId="6D51E8EA" w14:textId="77777777" w:rsidR="00251BC7" w:rsidRDefault="00251BC7" w:rsidP="0025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BD26" w14:textId="77777777" w:rsidR="00251BC7" w:rsidRDefault="00251BC7" w:rsidP="00251BC7">
      <w:pPr>
        <w:spacing w:after="0" w:line="240" w:lineRule="auto"/>
      </w:pPr>
      <w:r>
        <w:separator/>
      </w:r>
    </w:p>
  </w:footnote>
  <w:footnote w:type="continuationSeparator" w:id="0">
    <w:p w14:paraId="72BA4E6F" w14:textId="77777777" w:rsidR="00251BC7" w:rsidRDefault="00251BC7" w:rsidP="0025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F1EC" w14:textId="11CFDA4D" w:rsidR="00251BC7" w:rsidRDefault="00251BC7" w:rsidP="00251BC7">
    <w:pPr>
      <w:pStyle w:val="Header"/>
    </w:pPr>
    <w:r>
      <w:t>{INSERT ORGANISATION LOGO}</w:t>
    </w:r>
  </w:p>
  <w:p w14:paraId="76E0728E" w14:textId="47A7F787" w:rsidR="00251BC7" w:rsidRDefault="00251BC7">
    <w:pPr>
      <w:pStyle w:val="Header"/>
    </w:pPr>
  </w:p>
  <w:p w14:paraId="5EE3289B" w14:textId="77777777" w:rsidR="00251BC7" w:rsidRDefault="00251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745A"/>
    <w:multiLevelType w:val="hybridMultilevel"/>
    <w:tmpl w:val="EFD08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4B6"/>
    <w:multiLevelType w:val="hybridMultilevel"/>
    <w:tmpl w:val="F1FE5BBC"/>
    <w:lvl w:ilvl="0" w:tplc="0922C15E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B0385"/>
    <w:multiLevelType w:val="hybridMultilevel"/>
    <w:tmpl w:val="765628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AFF"/>
    <w:multiLevelType w:val="hybridMultilevel"/>
    <w:tmpl w:val="9AD67080"/>
    <w:lvl w:ilvl="0" w:tplc="0922C15E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3D9B"/>
    <w:multiLevelType w:val="hybridMultilevel"/>
    <w:tmpl w:val="6D98C19A"/>
    <w:lvl w:ilvl="0" w:tplc="61D24C96">
      <w:start w:val="3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5091"/>
    <w:multiLevelType w:val="hybridMultilevel"/>
    <w:tmpl w:val="C43472BE"/>
    <w:lvl w:ilvl="0" w:tplc="C6E02CC4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2DAC"/>
    <w:multiLevelType w:val="hybridMultilevel"/>
    <w:tmpl w:val="DBB69376"/>
    <w:lvl w:ilvl="0" w:tplc="C6E02CC4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56E7A"/>
    <w:multiLevelType w:val="hybridMultilevel"/>
    <w:tmpl w:val="9EC21F3E"/>
    <w:lvl w:ilvl="0" w:tplc="61D24C96">
      <w:start w:val="3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C53EA"/>
    <w:multiLevelType w:val="hybridMultilevel"/>
    <w:tmpl w:val="231A1770"/>
    <w:lvl w:ilvl="0" w:tplc="D68C3BE0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9524">
    <w:abstractNumId w:val="2"/>
  </w:num>
  <w:num w:numId="2" w16cid:durableId="883255858">
    <w:abstractNumId w:val="5"/>
  </w:num>
  <w:num w:numId="3" w16cid:durableId="1173297055">
    <w:abstractNumId w:val="6"/>
  </w:num>
  <w:num w:numId="4" w16cid:durableId="1934897952">
    <w:abstractNumId w:val="1"/>
  </w:num>
  <w:num w:numId="5" w16cid:durableId="1144204299">
    <w:abstractNumId w:val="3"/>
  </w:num>
  <w:num w:numId="6" w16cid:durableId="281225529">
    <w:abstractNumId w:val="8"/>
  </w:num>
  <w:num w:numId="7" w16cid:durableId="1972402394">
    <w:abstractNumId w:val="0"/>
  </w:num>
  <w:num w:numId="8" w16cid:durableId="2089574648">
    <w:abstractNumId w:val="7"/>
  </w:num>
  <w:num w:numId="9" w16cid:durableId="51775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41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51BC7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56D94"/>
    <w:rsid w:val="0036431B"/>
    <w:rsid w:val="003965A1"/>
    <w:rsid w:val="003B7EA1"/>
    <w:rsid w:val="003C19CC"/>
    <w:rsid w:val="003C3C29"/>
    <w:rsid w:val="003C407A"/>
    <w:rsid w:val="003C71F4"/>
    <w:rsid w:val="003C7E69"/>
    <w:rsid w:val="003D47FA"/>
    <w:rsid w:val="003D709B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6F6DDE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70700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36E41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535DC0"/>
  <w15:chartTrackingRefBased/>
  <w15:docId w15:val="{0D5090C6-22F2-4B3B-AAE0-445C28DD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E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6E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E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F6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C7"/>
  </w:style>
  <w:style w:type="paragraph" w:styleId="Footer">
    <w:name w:val="footer"/>
    <w:basedOn w:val="Normal"/>
    <w:link w:val="FooterChar"/>
    <w:uiPriority w:val="99"/>
    <w:unhideWhenUsed/>
    <w:rsid w:val="0025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8BB1961E-6B3B-4362-9525-FB0A6BA6B286}"/>
</file>

<file path=customXml/itemProps2.xml><?xml version="1.0" encoding="utf-8"?>
<ds:datastoreItem xmlns:ds="http://schemas.openxmlformats.org/officeDocument/2006/customXml" ds:itemID="{374B505F-D909-40FB-8BE4-D6BB866E4AEE}"/>
</file>

<file path=customXml/itemProps3.xml><?xml version="1.0" encoding="utf-8"?>
<ds:datastoreItem xmlns:ds="http://schemas.openxmlformats.org/officeDocument/2006/customXml" ds:itemID="{71CD8564-4D15-4D18-8240-034265042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2023-09-27T23:32:00Z</dcterms:created>
  <dcterms:modified xsi:type="dcterms:W3CDTF">2023-09-28T23:04:00Z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