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0AD5" w:rsidR="008C0AD5" w:rsidP="008C0AD5" w:rsidRDefault="001265C6" w14:paraId="4292A547" w14:textId="77777777">
      <w:pPr>
        <w:spacing w:after="12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4CF2D613">
          <v:rect id="_x0000_i1025" style="width:0;height:1.5pt" o:hr="t" o:hrstd="t" o:hralign="center" fillcolor="#a0a0a0" stroked="f"/>
        </w:pict>
      </w:r>
    </w:p>
    <w:p w:rsidRPr="008C0AD5" w:rsidR="003C65CE" w:rsidP="003C65CE" w:rsidRDefault="009B00DB" w14:paraId="0EDB6B90" w14:textId="77777777">
      <w:pPr>
        <w:rPr>
          <w:rFonts w:ascii="Arial" w:hAnsi="Arial" w:cs="Arial"/>
          <w:b/>
          <w:color w:val="001489"/>
          <w:sz w:val="28"/>
        </w:rPr>
      </w:pPr>
      <w:r w:rsidRPr="008C0AD5">
        <w:rPr>
          <w:rFonts w:ascii="Arial" w:hAnsi="Arial" w:cs="Arial"/>
          <w:b/>
          <w:color w:val="001489"/>
          <w:sz w:val="28"/>
        </w:rPr>
        <w:t>FINANCIAL POLICIES AND PROCEDURES</w:t>
      </w:r>
    </w:p>
    <w:p w:rsidRPr="008C0AD5" w:rsidR="003C65CE" w:rsidP="003C65CE" w:rsidRDefault="001265C6" w14:paraId="12BA33D4" w14:textId="77777777">
      <w:pPr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1B0B74B7">
          <v:rect id="_x0000_i1026" style="width:0;height:1.5pt" o:hr="t" o:hrstd="t" o:hralign="center" fillcolor="#a0a0a0" stroked="f"/>
        </w:pict>
      </w:r>
    </w:p>
    <w:p w:rsidRPr="008C0AD5" w:rsidR="003C65CE" w:rsidP="006A433A" w:rsidRDefault="005106EB" w14:paraId="0C630E8E" w14:textId="77777777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t>SECTION 7</w:t>
      </w:r>
      <w:r w:rsidRPr="008C0AD5" w:rsidR="006A433A">
        <w:rPr>
          <w:rFonts w:ascii="Arial" w:hAnsi="Arial" w:cs="Arial"/>
          <w:b/>
          <w:color w:val="001489"/>
        </w:rPr>
        <w:t>:</w:t>
      </w:r>
      <w:r w:rsidRPr="008C0AD5" w:rsidR="006A433A">
        <w:rPr>
          <w:rFonts w:ascii="Arial" w:hAnsi="Arial" w:cs="Arial"/>
          <w:b/>
          <w:color w:val="001489"/>
        </w:rPr>
        <w:tab/>
      </w:r>
      <w:r w:rsidR="00AE7002">
        <w:rPr>
          <w:rFonts w:ascii="Arial" w:hAnsi="Arial" w:cs="Arial"/>
          <w:b/>
          <w:color w:val="001489"/>
        </w:rPr>
        <w:t>TAX</w:t>
      </w:r>
    </w:p>
    <w:p w:rsidRPr="008C0AD5" w:rsidR="003C65CE" w:rsidP="006A433A" w:rsidRDefault="003C65CE" w14:paraId="4F321C73" w14:textId="77777777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 w:rsidRPr="008C0AD5">
        <w:rPr>
          <w:rFonts w:ascii="Arial" w:hAnsi="Arial" w:cs="Arial"/>
          <w:b/>
          <w:color w:val="001489"/>
        </w:rPr>
        <w:t>POLICY 1:</w:t>
      </w:r>
      <w:r w:rsidRPr="008C0AD5" w:rsidR="006A433A">
        <w:rPr>
          <w:rFonts w:ascii="Arial" w:hAnsi="Arial" w:cs="Arial"/>
          <w:b/>
          <w:color w:val="001489"/>
        </w:rPr>
        <w:tab/>
      </w:r>
      <w:r w:rsidR="00AE7002">
        <w:rPr>
          <w:rFonts w:ascii="Arial" w:hAnsi="Arial" w:cs="Arial"/>
          <w:b/>
          <w:color w:val="001489"/>
        </w:rPr>
        <w:t>TAX &amp; CHARITABLE STATUS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Pr="009B00DB" w:rsidR="009B00DB" w:rsidTr="6ECDDC35" w14:paraId="06918CDA" w14:textId="77777777">
        <w:trPr>
          <w:trHeight w:val="567"/>
        </w:trPr>
        <w:tc>
          <w:tcPr>
            <w:tcW w:w="2093" w:type="dxa"/>
            <w:shd w:val="clear" w:color="auto" w:fill="auto"/>
            <w:tcMar/>
          </w:tcPr>
          <w:p w:rsidRPr="009B00DB" w:rsidR="009B00DB" w:rsidP="000F18B2" w:rsidRDefault="009B00DB" w14:paraId="507A50D3" w14:textId="77777777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Policy Rationale</w:t>
            </w:r>
          </w:p>
        </w:tc>
        <w:tc>
          <w:tcPr>
            <w:tcW w:w="7229" w:type="dxa"/>
            <w:shd w:val="clear" w:color="auto" w:fill="auto"/>
            <w:tcMar/>
          </w:tcPr>
          <w:p w:rsidR="00AE7002" w:rsidP="6ECDDC35" w:rsidRDefault="00AE7002" w14:paraId="45FD241F" w14:textId="71492826">
            <w:pPr>
              <w:pStyle w:val="Normal"/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6ECDDC35" w:rsidR="00AE700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AE700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>has</w:t>
            </w:r>
            <w:r w:rsidRPr="6ECDDC35" w:rsidR="00C2434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C432EE">
              <w:rPr>
                <w:rFonts w:ascii="Arial" w:hAnsi="Arial" w:cs="Arial"/>
                <w:sz w:val="20"/>
                <w:szCs w:val="20"/>
                <w:lang w:val="en-NZ"/>
              </w:rPr>
              <w:t>obtain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>ed</w:t>
            </w:r>
            <w:r w:rsidRPr="6ECDDC35" w:rsidR="00AE7002">
              <w:rPr>
                <w:rFonts w:ascii="Arial" w:hAnsi="Arial" w:cs="Arial"/>
                <w:sz w:val="20"/>
                <w:szCs w:val="20"/>
                <w:lang w:val="en-NZ"/>
              </w:rPr>
              <w:t xml:space="preserve"> charitable status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and </w:t>
            </w:r>
            <w:r w:rsidRPr="6ECDDC35" w:rsidR="00C432EE">
              <w:rPr>
                <w:rFonts w:ascii="Arial" w:hAnsi="Arial" w:cs="Arial"/>
                <w:sz w:val="20"/>
                <w:szCs w:val="20"/>
                <w:lang w:val="en-NZ"/>
              </w:rPr>
              <w:t xml:space="preserve">will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comply with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the requirements set out in the 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>Charities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Act 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 xml:space="preserve">2005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to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maintain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3333F8">
              <w:rPr>
                <w:rFonts w:ascii="Arial" w:hAnsi="Arial" w:cs="Arial"/>
                <w:sz w:val="20"/>
                <w:szCs w:val="20"/>
                <w:lang w:val="en-NZ"/>
              </w:rPr>
              <w:t xml:space="preserve">its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charitable status</w:t>
            </w:r>
            <w:r w:rsidRPr="6ECDDC35" w:rsidR="00596EE4">
              <w:rPr>
                <w:rFonts w:ascii="Arial" w:hAnsi="Arial" w:cs="Arial"/>
                <w:sz w:val="20"/>
                <w:szCs w:val="20"/>
                <w:lang w:val="en-NZ"/>
              </w:rPr>
              <w:t xml:space="preserve"> and income tax </w:t>
            </w:r>
            <w:r w:rsidRPr="6ECDDC35" w:rsidR="00596EE4">
              <w:rPr>
                <w:rFonts w:ascii="Arial" w:hAnsi="Arial" w:cs="Arial"/>
                <w:sz w:val="20"/>
                <w:szCs w:val="20"/>
                <w:lang w:val="en-NZ"/>
              </w:rPr>
              <w:t>exemption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  <w:p w:rsidRPr="00BC273A" w:rsidR="00C23A72" w:rsidP="6ECDDC35" w:rsidRDefault="00C23A72" w14:paraId="44FBAFBC" w14:textId="6D47EC26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 xml:space="preserve"> will endeavour to file returns for any 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 xml:space="preserve">other 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 xml:space="preserve">tax obligations and pay any tax liabilities on time 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in order to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 xml:space="preserve"> avoid any unnecessary penalties and interest. </w:t>
            </w:r>
          </w:p>
        </w:tc>
      </w:tr>
      <w:tr w:rsidRPr="009B00DB" w:rsidR="006A433A" w:rsidTr="6ECDDC35" w14:paraId="5A384784" w14:textId="77777777">
        <w:trPr>
          <w:trHeight w:val="567"/>
        </w:trPr>
        <w:tc>
          <w:tcPr>
            <w:tcW w:w="2093" w:type="dxa"/>
            <w:shd w:val="clear" w:color="auto" w:fill="auto"/>
            <w:tcMar/>
          </w:tcPr>
          <w:p w:rsidRPr="009B00DB" w:rsidR="009B00DB" w:rsidP="000F18B2" w:rsidRDefault="009B00DB" w14:paraId="18D53A99" w14:textId="77777777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Policy Statement</w:t>
            </w:r>
            <w:r w:rsidR="006A433A">
              <w:rPr>
                <w:rFonts w:ascii="Arial" w:hAnsi="Arial" w:cs="Arial"/>
                <w:b/>
                <w:sz w:val="20"/>
              </w:rPr>
              <w:t>(</w:t>
            </w:r>
            <w:r w:rsidRPr="009B00DB">
              <w:rPr>
                <w:rFonts w:ascii="Arial" w:hAnsi="Arial" w:cs="Arial"/>
                <w:b/>
                <w:sz w:val="20"/>
              </w:rPr>
              <w:t>s</w:t>
            </w:r>
            <w:r w:rsidR="006A433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29" w:type="dxa"/>
            <w:shd w:val="clear" w:color="auto" w:fill="auto"/>
            <w:tcMar/>
          </w:tcPr>
          <w:p w:rsidRPr="00BC273A" w:rsidR="00596EE4" w:rsidP="6ECDDC35" w:rsidRDefault="001265C6" w14:paraId="54000E0B" w14:textId="4FD1893F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6ECDDC35" w:rsidR="001265C6">
              <w:rPr>
                <w:rFonts w:ascii="Arial" w:hAnsi="Arial" w:cs="Arial"/>
                <w:sz w:val="20"/>
                <w:szCs w:val="20"/>
                <w:lang w:val="en-NZ"/>
              </w:rPr>
              <w:t>In order to</w:t>
            </w:r>
            <w:r w:rsidRPr="6ECDDC35" w:rsidR="001265C6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1265C6">
              <w:rPr>
                <w:rFonts w:ascii="Arial" w:hAnsi="Arial" w:cs="Arial"/>
                <w:sz w:val="20"/>
                <w:szCs w:val="20"/>
                <w:lang w:val="en-NZ"/>
              </w:rPr>
              <w:t>operate</w:t>
            </w:r>
            <w:r w:rsidRPr="6ECDDC35" w:rsidR="002B6CB8">
              <w:rPr>
                <w:rFonts w:ascii="Arial" w:hAnsi="Arial" w:cs="Arial"/>
                <w:sz w:val="20"/>
                <w:szCs w:val="20"/>
                <w:lang w:val="en-NZ"/>
              </w:rPr>
              <w:t xml:space="preserve"> as</w:t>
            </w:r>
            <w:r w:rsidRPr="6ECDDC35" w:rsidR="002B6CB8">
              <w:rPr>
                <w:rFonts w:ascii="Arial" w:hAnsi="Arial" w:cs="Arial"/>
                <w:sz w:val="20"/>
                <w:szCs w:val="20"/>
                <w:lang w:val="en-NZ"/>
              </w:rPr>
              <w:t xml:space="preserve"> a registered </w:t>
            </w:r>
            <w:r w:rsidRPr="6ECDDC35" w:rsidR="002B6CB8">
              <w:rPr>
                <w:rFonts w:ascii="Arial" w:hAnsi="Arial" w:cs="Arial"/>
                <w:sz w:val="20"/>
                <w:szCs w:val="20"/>
                <w:lang w:val="en-NZ"/>
              </w:rPr>
              <w:t>charity</w:t>
            </w:r>
            <w:r w:rsidRPr="6ECDDC35" w:rsidR="002B6CB8">
              <w:rPr>
                <w:rFonts w:ascii="Arial" w:hAnsi="Arial" w:cs="Arial"/>
                <w:sz w:val="20"/>
                <w:szCs w:val="20"/>
                <w:lang w:val="en-NZ"/>
              </w:rPr>
              <w:t xml:space="preserve"> t</w:t>
            </w:r>
            <w:r w:rsidRPr="6ECDDC35" w:rsidR="00596EE4">
              <w:rPr>
                <w:rFonts w:ascii="Arial" w:hAnsi="Arial" w:cs="Arial"/>
                <w:sz w:val="20"/>
                <w:szCs w:val="20"/>
                <w:lang w:val="en-NZ"/>
              </w:rPr>
              <w:t xml:space="preserve">he </w:t>
            </w:r>
            <w:r w:rsidRPr="6ECDDC35" w:rsidR="00596EE4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596EE4">
              <w:rPr>
                <w:rFonts w:ascii="Arial" w:hAnsi="Arial" w:cs="Arial"/>
                <w:sz w:val="20"/>
                <w:szCs w:val="20"/>
                <w:lang w:val="en-NZ"/>
              </w:rPr>
              <w:t>’s CFO / Finance Manager will:</w:t>
            </w:r>
          </w:p>
          <w:p w:rsidRPr="00BC273A" w:rsidR="00596EE4" w:rsidP="6ECDDC35" w:rsidRDefault="00596EE4" w14:paraId="7262B161" w14:textId="69F671EF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596EE4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Pr="6ECDDC35" w:rsidR="00596EE4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>complies with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1265C6">
              <w:rPr>
                <w:rFonts w:ascii="Arial" w:hAnsi="Arial" w:cs="Arial"/>
                <w:sz w:val="20"/>
                <w:szCs w:val="20"/>
              </w:rPr>
              <w:t>all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 xml:space="preserve"> requirements to 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>maintain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 xml:space="preserve"> its Charitable status </w:t>
            </w:r>
          </w:p>
          <w:p w:rsidR="00596EE4" w:rsidP="6ECDDC35" w:rsidRDefault="00596EE4" w14:paraId="1BD87D4C" w14:textId="77777777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596EE4">
              <w:rPr>
                <w:rFonts w:ascii="Arial" w:hAnsi="Arial" w:cs="Arial"/>
                <w:sz w:val="20"/>
                <w:szCs w:val="20"/>
              </w:rPr>
              <w:t>Ensure that all Charities Commission returns are filed correctly and on time</w:t>
            </w:r>
          </w:p>
          <w:p w:rsidRPr="00596EE4" w:rsidR="00596EE4" w:rsidP="6ECDDC35" w:rsidRDefault="00596EE4" w14:paraId="693F4754" w14:textId="713BBD42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596EE4">
              <w:rPr>
                <w:rFonts w:ascii="Arial" w:hAnsi="Arial" w:cs="Arial"/>
                <w:sz w:val="20"/>
                <w:szCs w:val="20"/>
              </w:rPr>
              <w:t>Respond appropriately and within reasonable time to requests from the Charities Commission</w:t>
            </w:r>
          </w:p>
          <w:p w:rsidRPr="00BC273A" w:rsidR="00594434" w:rsidP="6ECDDC35" w:rsidRDefault="00594434" w14:paraId="4735CA49" w14:textId="2167B988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highlight w:val="yellow"/>
                <w:lang w:val="en-NZ"/>
              </w:rPr>
            </w:pPr>
            <w:r w:rsidRPr="6ECDDC35" w:rsidR="00594434">
              <w:rPr>
                <w:rFonts w:ascii="Arial" w:hAnsi="Arial" w:cs="Arial"/>
                <w:sz w:val="20"/>
                <w:szCs w:val="20"/>
                <w:lang w:val="en-NZ"/>
              </w:rPr>
              <w:t>The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601EDC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 xml:space="preserve">’s </w:t>
            </w:r>
            <w:r w:rsidRPr="6ECDDC35" w:rsidR="00594434">
              <w:rPr>
                <w:rFonts w:ascii="Arial" w:hAnsi="Arial" w:cs="Arial"/>
                <w:sz w:val="20"/>
                <w:szCs w:val="20"/>
                <w:lang w:val="en-NZ"/>
              </w:rPr>
              <w:t>C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>F</w:t>
            </w:r>
            <w:r w:rsidRPr="6ECDDC35" w:rsidR="00594434">
              <w:rPr>
                <w:rFonts w:ascii="Arial" w:hAnsi="Arial" w:cs="Arial"/>
                <w:sz w:val="20"/>
                <w:szCs w:val="20"/>
                <w:lang w:val="en-NZ"/>
              </w:rPr>
              <w:t>O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 xml:space="preserve"> / Finance Man</w:t>
            </w:r>
            <w:r w:rsidRPr="6ECDDC35" w:rsidR="00637FD5">
              <w:rPr>
                <w:rFonts w:ascii="Arial" w:hAnsi="Arial" w:cs="Arial"/>
                <w:sz w:val="20"/>
                <w:szCs w:val="20"/>
                <w:lang w:val="en-NZ"/>
              </w:rPr>
              <w:t>a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>ger</w:t>
            </w:r>
            <w:r w:rsidRPr="6ECDDC35" w:rsidR="00594434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>will</w:t>
            </w:r>
            <w:r w:rsidRPr="6ECDDC35" w:rsidR="002B6CB8">
              <w:rPr>
                <w:rFonts w:ascii="Arial" w:hAnsi="Arial" w:cs="Arial"/>
                <w:sz w:val="20"/>
                <w:szCs w:val="20"/>
                <w:lang w:val="en-NZ"/>
              </w:rPr>
              <w:t xml:space="preserve"> also</w:t>
            </w:r>
            <w:r w:rsidRPr="6ECDDC35" w:rsidR="00601EDC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:rsidRPr="00BC273A" w:rsidR="00C432EE" w:rsidP="6ECDDC35" w:rsidRDefault="00C432EE" w14:paraId="75E391D3" w14:textId="2BBFB7CE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CDDC35" w:rsidR="00C432EE">
              <w:rPr>
                <w:rFonts w:ascii="Arial" w:hAnsi="Arial" w:cs="Arial"/>
                <w:sz w:val="20"/>
                <w:szCs w:val="20"/>
              </w:rPr>
              <w:t xml:space="preserve">Ensure that the basis and taxable periods under which </w:t>
            </w:r>
            <w:r w:rsidRPr="6ECDDC35" w:rsidR="00637FD5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637F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C432EE">
              <w:rPr>
                <w:rFonts w:ascii="Arial" w:hAnsi="Arial" w:cs="Arial"/>
                <w:sz w:val="20"/>
                <w:szCs w:val="20"/>
              </w:rPr>
              <w:t xml:space="preserve">GST activity is returned (if any) is the most </w:t>
            </w:r>
            <w:r w:rsidRPr="6ECDDC35" w:rsidR="00C432EE">
              <w:rPr>
                <w:rFonts w:ascii="Arial" w:hAnsi="Arial" w:cs="Arial"/>
                <w:sz w:val="20"/>
                <w:szCs w:val="20"/>
              </w:rPr>
              <w:t>appropriate for</w:t>
            </w:r>
            <w:r w:rsidRPr="6ECDDC35" w:rsidR="00C432EE">
              <w:rPr>
                <w:rFonts w:ascii="Arial" w:hAnsi="Arial" w:cs="Arial"/>
                <w:sz w:val="20"/>
                <w:szCs w:val="20"/>
              </w:rPr>
              <w:t xml:space="preserve"> the organisation</w:t>
            </w:r>
          </w:p>
          <w:p w:rsidRPr="00BC273A" w:rsidR="00C432EE" w:rsidP="6ECDDC35" w:rsidRDefault="00C432EE" w14:paraId="365E3334" w14:textId="1FC521E0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C432EE">
              <w:rPr>
                <w:rFonts w:ascii="Arial" w:hAnsi="Arial" w:cs="Arial"/>
                <w:sz w:val="20"/>
                <w:szCs w:val="20"/>
              </w:rPr>
              <w:t xml:space="preserve">Ensure all benefits provided to staff / members are </w:t>
            </w:r>
            <w:r w:rsidRPr="6ECDDC35" w:rsidR="00637FD5">
              <w:rPr>
                <w:rFonts w:ascii="Arial" w:hAnsi="Arial" w:cs="Arial"/>
                <w:sz w:val="20"/>
                <w:szCs w:val="20"/>
              </w:rPr>
              <w:t xml:space="preserve">taxed </w:t>
            </w:r>
            <w:r w:rsidRPr="6ECDDC35" w:rsidR="00C432EE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with reference to 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>appropriate legislation</w:t>
            </w:r>
          </w:p>
          <w:p w:rsidRPr="00BC273A" w:rsidR="007704FC" w:rsidP="006651C9" w:rsidRDefault="007704FC" w14:paraId="56DF2CED" w14:textId="77777777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6ECDDC35" w:rsidR="007704FC">
              <w:rPr>
                <w:rFonts w:ascii="Arial" w:hAnsi="Arial" w:cs="Arial"/>
                <w:sz w:val="20"/>
                <w:szCs w:val="20"/>
              </w:rPr>
              <w:t xml:space="preserve">Ensure that the persons authorised with Inland Revenue to act on </w:t>
            </w:r>
            <w:r w:rsidRPr="6ECDDC35" w:rsidR="007704FC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7704FC">
              <w:rPr>
                <w:rFonts w:ascii="Arial" w:hAnsi="Arial" w:cs="Arial"/>
                <w:sz w:val="20"/>
                <w:szCs w:val="20"/>
              </w:rPr>
              <w:t xml:space="preserve"> behalf are regularly reviewed and updated, particularly with </w:t>
            </w:r>
            <w:r w:rsidRPr="6ECDDC35" w:rsidR="00637FD5">
              <w:rPr>
                <w:rFonts w:ascii="Arial" w:hAnsi="Arial" w:cs="Arial"/>
                <w:sz w:val="20"/>
                <w:szCs w:val="20"/>
              </w:rPr>
              <w:t xml:space="preserve">finance </w:t>
            </w:r>
            <w:r w:rsidRPr="6ECDDC35" w:rsidR="007704FC">
              <w:rPr>
                <w:rFonts w:ascii="Arial" w:hAnsi="Arial" w:cs="Arial"/>
                <w:sz w:val="20"/>
                <w:szCs w:val="20"/>
              </w:rPr>
              <w:t>staff changes</w:t>
            </w:r>
          </w:p>
          <w:p w:rsidRPr="00BC273A" w:rsidR="00C432EE" w:rsidP="006651C9" w:rsidRDefault="00637FD5" w14:paraId="4ACB7489" w14:textId="77777777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</w:rPr>
            </w:pPr>
            <w:r w:rsidRPr="6ECDDC35" w:rsidR="00637FD5">
              <w:rPr>
                <w:rFonts w:ascii="Arial" w:hAnsi="Arial" w:cs="Arial"/>
                <w:sz w:val="20"/>
                <w:szCs w:val="20"/>
              </w:rPr>
              <w:t xml:space="preserve">Respond appropriately and within reasonable time to </w:t>
            </w:r>
            <w:r w:rsidRPr="6ECDDC35" w:rsidR="00C432EE">
              <w:rPr>
                <w:rFonts w:ascii="Arial" w:hAnsi="Arial" w:cs="Arial"/>
                <w:sz w:val="20"/>
                <w:szCs w:val="20"/>
              </w:rPr>
              <w:t>requests from Inland Revenue</w:t>
            </w:r>
          </w:p>
          <w:p w:rsidR="00C23A72" w:rsidP="6ECDDC35" w:rsidRDefault="005106EB" w14:paraId="58ECBE22" w14:textId="5B5B484E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5106EB">
              <w:rPr>
                <w:rFonts w:ascii="Arial" w:hAnsi="Arial" w:cs="Arial"/>
                <w:sz w:val="20"/>
                <w:szCs w:val="20"/>
              </w:rPr>
              <w:t xml:space="preserve">Ensure that all transactions 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>entered into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6ECDDC35" w:rsidR="005106EB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 xml:space="preserve"> are assessed for any 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>possible tax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 xml:space="preserve"> obligations and that those obligations are </w:t>
            </w:r>
            <w:r w:rsidRPr="6ECDDC35" w:rsidR="003333F8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>recorded</w:t>
            </w:r>
          </w:p>
          <w:p w:rsidR="00C23A72" w:rsidP="6ECDDC35" w:rsidRDefault="00C23A72" w14:paraId="22416B85" w14:textId="7C6F8B3A">
            <w:p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6ECDDC35" w:rsidR="00C23A72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is an Incorporated Society the CFO / Finance 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>Manager will</w:t>
            </w:r>
            <w:r w:rsidRPr="6ECDDC35" w:rsidR="008E5CB3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8E5CB3" w:rsidR="008E5CB3" w:rsidP="6ECDDC35" w:rsidRDefault="008E5CB3" w14:paraId="1437F1C9" w14:textId="5F30CD8A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8E5CB3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Pr="6ECDDC35" w:rsidR="008E5CB3">
              <w:rPr>
                <w:rFonts w:ascii="Arial" w:hAnsi="Arial" w:cs="Arial"/>
                <w:color w:val="001489"/>
                <w:sz w:val="20"/>
                <w:szCs w:val="20"/>
              </w:rPr>
              <w:t>[organisation]</w:t>
            </w:r>
            <w:r w:rsidRPr="6ECDDC35" w:rsidR="008E5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8E5CB3">
              <w:rPr>
                <w:rFonts w:ascii="Arial" w:hAnsi="Arial" w:cs="Arial"/>
                <w:sz w:val="20"/>
                <w:szCs w:val="20"/>
              </w:rPr>
              <w:t>re-registers under the new Incorporated Society Act 2022 between October 2023 and April 2026</w:t>
            </w:r>
            <w:r w:rsidRPr="6ECDDC35" w:rsidR="008E5CB3">
              <w:rPr>
                <w:rFonts w:ascii="Arial" w:hAnsi="Arial" w:cs="Arial"/>
                <w:sz w:val="20"/>
                <w:szCs w:val="20"/>
              </w:rPr>
              <w:t xml:space="preserve"> (or such new </w:t>
            </w:r>
            <w:r w:rsidRPr="6ECDDC35" w:rsidR="001265C6">
              <w:rPr>
                <w:rFonts w:ascii="Arial" w:hAnsi="Arial" w:cs="Arial"/>
                <w:sz w:val="20"/>
                <w:szCs w:val="20"/>
              </w:rPr>
              <w:t>date</w:t>
            </w:r>
            <w:r w:rsidRPr="6ECDDC35" w:rsidR="00584DC6">
              <w:rPr>
                <w:rFonts w:ascii="Arial" w:hAnsi="Arial" w:cs="Arial"/>
                <w:sz w:val="20"/>
                <w:szCs w:val="20"/>
              </w:rPr>
              <w:t xml:space="preserve"> that may be allowed)</w:t>
            </w:r>
          </w:p>
          <w:p w:rsidRPr="00C23A72" w:rsidR="00C23A72" w:rsidP="6ECDDC35" w:rsidRDefault="00C23A72" w14:paraId="69F0962A" w14:textId="358D991E">
            <w:pPr>
              <w:pStyle w:val="ListParagraph"/>
              <w:numPr>
                <w:ilvl w:val="0"/>
                <w:numId w:val="10"/>
              </w:numPr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Ensure all compliance with the relevant Act to which the Incorporated Society is registered </w:t>
            </w:r>
          </w:p>
          <w:p w:rsidRPr="001265C6" w:rsidR="00C432EE" w:rsidP="6ECDDC35" w:rsidRDefault="00637FD5" w14:paraId="68993FFA" w14:textId="401588D3">
            <w:pPr>
              <w:pStyle w:val="Normal"/>
              <w:spacing w:before="240" w:after="240" w:line="360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B00DB" w:rsidR="009B00DB" w:rsidTr="6ECDDC35" w14:paraId="463908C8" w14:textId="77777777">
        <w:trPr>
          <w:trHeight w:val="567"/>
        </w:trPr>
        <w:tc>
          <w:tcPr>
            <w:tcW w:w="2093" w:type="dxa"/>
            <w:shd w:val="clear" w:color="auto" w:fill="auto"/>
            <w:tcMar/>
          </w:tcPr>
          <w:p w:rsidR="009B00DB" w:rsidP="00250FC2" w:rsidRDefault="009B00DB" w14:paraId="3C1C69CC" w14:textId="77777777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Policy </w:t>
            </w:r>
            <w:r w:rsidR="00070B51">
              <w:rPr>
                <w:rFonts w:ascii="Arial" w:hAnsi="Arial" w:cs="Arial"/>
                <w:b/>
                <w:sz w:val="20"/>
              </w:rPr>
              <w:t xml:space="preserve">Implementation and </w:t>
            </w:r>
            <w:r w:rsidR="00250FC2">
              <w:rPr>
                <w:rFonts w:ascii="Arial" w:hAnsi="Arial" w:cs="Arial"/>
                <w:b/>
                <w:sz w:val="20"/>
              </w:rPr>
              <w:t xml:space="preserve">Related </w:t>
            </w:r>
            <w:r>
              <w:rPr>
                <w:rFonts w:ascii="Arial" w:hAnsi="Arial" w:cs="Arial"/>
                <w:b/>
                <w:sz w:val="20"/>
              </w:rPr>
              <w:t>Procedure Document</w:t>
            </w:r>
            <w:r w:rsidR="00070B51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7229" w:type="dxa"/>
            <w:shd w:val="clear" w:color="auto" w:fill="auto"/>
            <w:tcMar/>
          </w:tcPr>
          <w:p w:rsidRPr="00BC273A" w:rsidR="00250FC2" w:rsidP="00F5780E" w:rsidRDefault="00250FC2" w14:paraId="29137E98" w14:textId="77777777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BC273A">
              <w:rPr>
                <w:rFonts w:ascii="Arial" w:hAnsi="Arial" w:cs="Arial"/>
                <w:sz w:val="20"/>
                <w:lang w:val="en-NZ"/>
              </w:rPr>
              <w:t xml:space="preserve">The implementation and review of these </w:t>
            </w:r>
            <w:r w:rsidRPr="00BC273A" w:rsidR="00234BF1">
              <w:rPr>
                <w:rFonts w:ascii="Arial" w:hAnsi="Arial" w:cs="Arial"/>
                <w:sz w:val="20"/>
                <w:lang w:val="en-NZ"/>
              </w:rPr>
              <w:t xml:space="preserve">Tax &amp; Charitable Status </w:t>
            </w:r>
            <w:r w:rsidRPr="00BC273A">
              <w:rPr>
                <w:rFonts w:ascii="Arial" w:hAnsi="Arial" w:cs="Arial"/>
                <w:sz w:val="20"/>
                <w:lang w:val="en-NZ"/>
              </w:rPr>
              <w:t xml:space="preserve">policies are the responsibility of </w:t>
            </w:r>
            <w:r w:rsidRPr="00BC273A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BC273A">
              <w:rPr>
                <w:rFonts w:ascii="Arial" w:hAnsi="Arial" w:cs="Arial"/>
                <w:sz w:val="20"/>
                <w:lang w:val="en-NZ"/>
              </w:rPr>
              <w:t xml:space="preserve">’s </w:t>
            </w:r>
            <w:r w:rsidRPr="00BC273A" w:rsidR="00234BF1">
              <w:rPr>
                <w:rFonts w:ascii="Arial" w:hAnsi="Arial" w:cs="Arial"/>
                <w:sz w:val="20"/>
                <w:lang w:val="en-NZ"/>
              </w:rPr>
              <w:t>Audit, Finance &amp; Risk Committee</w:t>
            </w:r>
            <w:r w:rsidRPr="00BC273A">
              <w:rPr>
                <w:rFonts w:ascii="Arial" w:hAnsi="Arial" w:cs="Arial"/>
                <w:sz w:val="20"/>
                <w:lang w:val="en-NZ"/>
              </w:rPr>
              <w:t>.</w:t>
            </w:r>
          </w:p>
          <w:p w:rsidRPr="00BC273A" w:rsidR="0000697D" w:rsidP="005106EB" w:rsidRDefault="0000697D" w14:paraId="6BEC4BA2" w14:textId="77777777">
            <w:pPr>
              <w:spacing w:before="240" w:after="240" w:line="360" w:lineRule="auto"/>
              <w:ind w:left="175" w:right="317"/>
              <w:rPr>
                <w:rFonts w:ascii="Arial" w:hAnsi="Arial" w:cs="Arial"/>
                <w:color w:val="001489"/>
                <w:sz w:val="20"/>
                <w:lang w:val="en-NZ"/>
              </w:rPr>
            </w:pPr>
            <w:r w:rsidRPr="00BC273A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BC273A">
              <w:rPr>
                <w:rFonts w:ascii="Arial" w:hAnsi="Arial" w:cs="Arial"/>
                <w:sz w:val="20"/>
                <w:lang w:val="en-NZ"/>
              </w:rPr>
              <w:t xml:space="preserve">’s Audit, Finance &amp; Risk Committee </w:t>
            </w:r>
            <w:r w:rsidRPr="00BC273A" w:rsidR="0021138A">
              <w:rPr>
                <w:rFonts w:ascii="Arial" w:hAnsi="Arial" w:cs="Arial"/>
                <w:sz w:val="20"/>
                <w:lang w:val="en-NZ"/>
              </w:rPr>
              <w:t xml:space="preserve">may </w:t>
            </w:r>
            <w:r w:rsidRPr="00BC273A">
              <w:rPr>
                <w:rFonts w:ascii="Arial" w:hAnsi="Arial" w:cs="Arial"/>
                <w:sz w:val="20"/>
                <w:lang w:val="en-NZ"/>
              </w:rPr>
              <w:t xml:space="preserve">request that the </w:t>
            </w:r>
            <w:r w:rsidRPr="00BC273A" w:rsidR="00177C65">
              <w:rPr>
                <w:rFonts w:ascii="Arial" w:hAnsi="Arial" w:cs="Arial"/>
                <w:sz w:val="20"/>
                <w:lang w:val="en-NZ"/>
              </w:rPr>
              <w:t>External Auditors review tax compliance as part of the annual audit.</w:t>
            </w:r>
          </w:p>
          <w:p w:rsidRPr="00BC273A" w:rsidR="005106EB" w:rsidP="6ECDDC35" w:rsidRDefault="00234BF1" w14:paraId="631E6B74" w14:textId="1B1121D3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6ECDDC35" w:rsidR="00234BF1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’s </w:t>
            </w:r>
            <w:r w:rsidRPr="6ECDDC35" w:rsidR="00250FC2">
              <w:rPr>
                <w:rFonts w:ascii="Arial" w:hAnsi="Arial" w:cs="Arial"/>
                <w:sz w:val="20"/>
                <w:szCs w:val="20"/>
                <w:lang w:val="en-NZ"/>
              </w:rPr>
              <w:t>C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FO / Finance Manager</w:t>
            </w:r>
            <w:r w:rsidRPr="6ECDDC35" w:rsidR="00250FC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is responsible for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implementing and then regularly reviewing the tax requirements for the organisation and </w:t>
            </w:r>
            <w:r w:rsidRPr="6ECDDC35" w:rsidR="00637FD5">
              <w:rPr>
                <w:rFonts w:ascii="Arial" w:hAnsi="Arial" w:cs="Arial"/>
                <w:sz w:val="20"/>
                <w:szCs w:val="20"/>
                <w:lang w:val="en-NZ"/>
              </w:rPr>
              <w:t xml:space="preserve">the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related procedures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.  </w:t>
            </w:r>
            <w:r w:rsidRPr="6ECDDC35" w:rsidR="00C23A72">
              <w:rPr>
                <w:rFonts w:ascii="Arial" w:hAnsi="Arial" w:cs="Arial"/>
                <w:sz w:val="20"/>
                <w:szCs w:val="20"/>
                <w:lang w:val="en-NZ"/>
              </w:rPr>
              <w:t>T</w:t>
            </w:r>
            <w:r w:rsidRPr="6ECDDC35" w:rsidR="00C23A72">
              <w:rPr>
                <w:rFonts w:ascii="Arial" w:hAnsi="Arial" w:cs="Arial"/>
                <w:sz w:val="20"/>
                <w:szCs w:val="20"/>
                <w:lang w:val="en-NZ"/>
              </w:rPr>
              <w:t xml:space="preserve">hey are 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 xml:space="preserve">also responsible for the filing of </w:t>
            </w:r>
            <w:r w:rsidRPr="6ECDDC35" w:rsidR="00C23A72">
              <w:rPr>
                <w:rFonts w:ascii="Arial" w:hAnsi="Arial" w:cs="Arial"/>
                <w:sz w:val="20"/>
                <w:szCs w:val="20"/>
                <w:lang w:val="en-NZ"/>
              </w:rPr>
              <w:t>GST and other relevant tax</w:t>
            </w:r>
            <w:r w:rsidRPr="6ECDDC35" w:rsidR="00C23A72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>returns and payment of tax liabilities.</w:t>
            </w:r>
          </w:p>
          <w:p w:rsidRPr="00BC273A" w:rsidR="00250FC2" w:rsidP="6ECDDC35" w:rsidRDefault="005106EB" w14:paraId="210D26AC" w14:textId="40B26E29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6ECDDC35" w:rsidR="005106EB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>[organisation]</w:t>
            </w:r>
            <w:r w:rsidRPr="6ECDDC35" w:rsidR="005106EB">
              <w:rPr>
                <w:rFonts w:ascii="Arial" w:hAnsi="Arial" w:cs="Arial"/>
                <w:sz w:val="20"/>
                <w:szCs w:val="20"/>
                <w:lang w:val="en-NZ"/>
              </w:rPr>
              <w:t xml:space="preserve">’s CFO / Finance Manager will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also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establish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and review the procedures supporting the requirements for </w:t>
            </w:r>
            <w:r w:rsidRPr="6ECDDC35" w:rsidR="00234BF1">
              <w:rPr>
                <w:rFonts w:ascii="Arial" w:hAnsi="Arial" w:cs="Arial"/>
                <w:color w:val="001489"/>
                <w:sz w:val="20"/>
                <w:szCs w:val="20"/>
                <w:lang w:val="en-NZ"/>
              </w:rPr>
              <w:t xml:space="preserve">[organisation]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to register for and then 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maintain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 xml:space="preserve"> charitable status</w:t>
            </w:r>
            <w:r w:rsidRPr="6ECDDC35" w:rsidR="001265C6">
              <w:rPr>
                <w:rFonts w:ascii="Arial" w:hAnsi="Arial" w:cs="Arial"/>
                <w:sz w:val="20"/>
                <w:szCs w:val="20"/>
                <w:lang w:val="en-NZ"/>
              </w:rPr>
              <w:t xml:space="preserve"> and Incorporated Society status (if relevant)</w:t>
            </w:r>
            <w:r w:rsidRPr="6ECDDC35" w:rsidR="00234BF1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  <w:p w:rsidRPr="00BC273A" w:rsidR="0004519C" w:rsidP="00F5780E" w:rsidRDefault="0004519C" w14:paraId="10914CAF" w14:textId="77777777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BC273A">
              <w:rPr>
                <w:rFonts w:ascii="Arial" w:hAnsi="Arial" w:cs="Arial"/>
                <w:sz w:val="20"/>
                <w:lang w:val="en-NZ"/>
              </w:rPr>
              <w:t xml:space="preserve">The following </w:t>
            </w:r>
            <w:r w:rsidRPr="00BC273A" w:rsidR="00250FC2">
              <w:rPr>
                <w:rFonts w:ascii="Arial" w:hAnsi="Arial" w:cs="Arial"/>
                <w:color w:val="001489"/>
                <w:sz w:val="20"/>
                <w:lang w:val="en-NZ"/>
              </w:rPr>
              <w:t>[organisation]</w:t>
            </w:r>
            <w:r w:rsidRPr="00BC273A" w:rsidR="00250FC2">
              <w:rPr>
                <w:rFonts w:ascii="Arial" w:hAnsi="Arial" w:cs="Arial"/>
                <w:sz w:val="20"/>
                <w:lang w:val="en-NZ"/>
              </w:rPr>
              <w:t xml:space="preserve"> policies and frameworks should be referred to in this regard:</w:t>
            </w:r>
          </w:p>
          <w:p w:rsidRPr="00BC273A" w:rsidR="00AE7002" w:rsidP="0000697D" w:rsidRDefault="00AE7002" w14:paraId="313791E5" w14:textId="77777777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BC273A">
              <w:rPr>
                <w:rFonts w:ascii="Arial" w:hAnsi="Arial" w:cs="Arial"/>
                <w:sz w:val="20"/>
              </w:rPr>
              <w:t>Finance Manual</w:t>
            </w:r>
          </w:p>
          <w:p w:rsidRPr="00BC273A" w:rsidR="008D2F48" w:rsidP="0000697D" w:rsidRDefault="008D2F48" w14:paraId="3BE4BA22" w14:textId="77777777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 w:rsidRPr="00BC273A">
              <w:rPr>
                <w:rFonts w:ascii="Arial" w:hAnsi="Arial" w:cs="Arial"/>
                <w:sz w:val="20"/>
              </w:rPr>
              <w:t>Accountability, Internal Controls &amp; Audit Policy</w:t>
            </w:r>
          </w:p>
          <w:p w:rsidRPr="00C23A72" w:rsidR="00BA48BF" w:rsidP="6ECDDC35" w:rsidRDefault="008D2F48" w14:paraId="50C5902E" w14:textId="5AEBEC5C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8D2F48">
              <w:rPr>
                <w:rFonts w:ascii="Arial" w:hAnsi="Arial" w:cs="Arial"/>
                <w:sz w:val="20"/>
                <w:szCs w:val="20"/>
              </w:rPr>
              <w:t xml:space="preserve">Records Management </w:t>
            </w:r>
            <w:r w:rsidRPr="6ECDDC35" w:rsidR="00C23A72">
              <w:rPr>
                <w:rFonts w:ascii="Arial" w:hAnsi="Arial" w:cs="Arial"/>
                <w:sz w:val="20"/>
                <w:szCs w:val="20"/>
              </w:rPr>
              <w:t xml:space="preserve">&amp; Data Security </w:t>
            </w:r>
            <w:r w:rsidRPr="6ECDDC35" w:rsidR="008D2F48"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</w:tr>
      <w:tr w:rsidRPr="009B00DB" w:rsidR="005106EB" w:rsidTr="6ECDDC35" w14:paraId="7FE4DEE4" w14:textId="77777777">
        <w:trPr>
          <w:trHeight w:val="567"/>
        </w:trPr>
        <w:tc>
          <w:tcPr>
            <w:tcW w:w="2093" w:type="dxa"/>
            <w:shd w:val="clear" w:color="auto" w:fill="auto"/>
            <w:tcMar/>
          </w:tcPr>
          <w:p w:rsidR="005106EB" w:rsidP="0000697D" w:rsidRDefault="005106EB" w14:paraId="1512B2DB" w14:textId="77777777">
            <w:pPr>
              <w:spacing w:before="240" w:after="24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Legislative Compliance Considerations</w:t>
            </w:r>
          </w:p>
        </w:tc>
        <w:tc>
          <w:tcPr>
            <w:tcW w:w="7229" w:type="dxa"/>
            <w:shd w:val="clear" w:color="auto" w:fill="auto"/>
            <w:tcMar/>
          </w:tcPr>
          <w:p w:rsidR="005106EB" w:rsidP="005106EB" w:rsidRDefault="005106EB" w14:paraId="09643901" w14:textId="77777777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Income Tax Act 2007</w:t>
            </w:r>
          </w:p>
          <w:p w:rsidR="005106EB" w:rsidP="005106EB" w:rsidRDefault="005106EB" w14:paraId="64EB8CBD" w14:textId="2F0264B7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Tax Administration Act 1994</w:t>
            </w:r>
          </w:p>
          <w:p w:rsidRPr="00EF6A92" w:rsidR="00F04145" w:rsidP="005106EB" w:rsidRDefault="00F04145" w14:paraId="09DE887D" w14:textId="44479D0F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Financial Reporting Act 2013</w:t>
            </w:r>
          </w:p>
          <w:p w:rsidR="005106EB" w:rsidP="005106EB" w:rsidRDefault="005106EB" w14:paraId="3B832366" w14:textId="77777777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KiwiSaver Act 2006</w:t>
            </w:r>
          </w:p>
          <w:p w:rsidR="005106EB" w:rsidP="6ECDDC35" w:rsidRDefault="005106EB" w14:paraId="30F1D9BF" w14:textId="6996FFEB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5106EB">
              <w:rPr>
                <w:rFonts w:ascii="Arial" w:hAnsi="Arial" w:cs="Arial"/>
                <w:sz w:val="20"/>
                <w:szCs w:val="20"/>
              </w:rPr>
              <w:t>G</w:t>
            </w:r>
            <w:r w:rsidRPr="6ECDDC35" w:rsidR="00596EE4">
              <w:rPr>
                <w:rFonts w:ascii="Arial" w:hAnsi="Arial" w:cs="Arial"/>
                <w:sz w:val="20"/>
                <w:szCs w:val="20"/>
              </w:rPr>
              <w:t>oods and Services Tax</w:t>
            </w:r>
            <w:r w:rsidRPr="6ECDDC35" w:rsidR="009873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>Act 1985</w:t>
            </w:r>
          </w:p>
          <w:p w:rsidR="00F04145" w:rsidP="6ECDDC35" w:rsidRDefault="005106EB" w14:paraId="252EEB2A" w14:textId="6A5710CC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5106EB">
              <w:rPr>
                <w:rFonts w:ascii="Arial" w:hAnsi="Arial" w:cs="Arial"/>
                <w:sz w:val="20"/>
                <w:szCs w:val="20"/>
              </w:rPr>
              <w:t>Charities Act 2005 [i</w:t>
            </w:r>
            <w:r w:rsidRPr="6ECDDC35" w:rsidR="00FD2627">
              <w:rPr>
                <w:rFonts w:ascii="Arial" w:hAnsi="Arial" w:cs="Arial"/>
                <w:sz w:val="20"/>
                <w:szCs w:val="20"/>
              </w:rPr>
              <w:t>f</w:t>
            </w:r>
            <w:r w:rsidRPr="6ECDDC35" w:rsidR="005106EB">
              <w:rPr>
                <w:rFonts w:ascii="Arial" w:hAnsi="Arial" w:cs="Arial"/>
                <w:sz w:val="20"/>
                <w:szCs w:val="20"/>
              </w:rPr>
              <w:t xml:space="preserve"> a registered Charity]</w:t>
            </w:r>
          </w:p>
          <w:p w:rsidR="002B6CB8" w:rsidP="6ECDDC35" w:rsidRDefault="002B6CB8" w14:paraId="59E0D97F" w14:textId="609ED009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2B6CB8">
              <w:rPr>
                <w:rFonts w:ascii="Arial" w:hAnsi="Arial" w:cs="Arial"/>
                <w:sz w:val="20"/>
                <w:szCs w:val="20"/>
              </w:rPr>
              <w:t>Incorporated Societies Act 1908 [if an Incorporated Society]</w:t>
            </w:r>
          </w:p>
          <w:p w:rsidRPr="00571043" w:rsidR="006651C9" w:rsidP="6ECDDC35" w:rsidRDefault="006651C9" w14:paraId="68AC0D97" w14:textId="7B52DAE6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2B6CB8">
              <w:rPr>
                <w:rFonts w:ascii="Arial" w:hAnsi="Arial" w:cs="Arial"/>
                <w:sz w:val="20"/>
                <w:szCs w:val="20"/>
              </w:rPr>
              <w:t>Incorporated Societies Act 2022 [</w:t>
            </w:r>
            <w:r w:rsidRPr="6ECDDC35" w:rsidR="002B6CB8">
              <w:rPr>
                <w:rFonts w:ascii="Arial" w:hAnsi="Arial" w:cs="Arial"/>
                <w:sz w:val="20"/>
                <w:szCs w:val="20"/>
              </w:rPr>
              <w:t>applicable if an Incorporated Society registered under the new Act. Reregistration is available from 5 October 2023]</w:t>
            </w:r>
          </w:p>
          <w:p w:rsidRPr="0098736F" w:rsidR="00F04145" w:rsidP="6ECDDC35" w:rsidRDefault="006651C9" w14:paraId="493B381F" w14:textId="7D19C0E3">
            <w:pPr>
              <w:pStyle w:val="ListParagraph"/>
              <w:numPr>
                <w:ilvl w:val="0"/>
                <w:numId w:val="7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20"/>
                <w:szCs w:val="20"/>
              </w:rPr>
            </w:pPr>
            <w:r w:rsidRPr="6ECDDC35" w:rsidR="006651C9">
              <w:rPr>
                <w:rFonts w:ascii="Arial" w:hAnsi="Arial" w:cs="Arial"/>
                <w:sz w:val="20"/>
                <w:szCs w:val="20"/>
              </w:rPr>
              <w:t>XRB Standards</w:t>
            </w:r>
          </w:p>
        </w:tc>
      </w:tr>
      <w:tr w:rsidRPr="009B00DB" w:rsidR="005106EB" w:rsidTr="6ECDDC35" w14:paraId="7AB29C3C" w14:textId="77777777">
        <w:trPr>
          <w:trHeight w:val="567"/>
        </w:trPr>
        <w:tc>
          <w:tcPr>
            <w:tcW w:w="2093" w:type="dxa"/>
            <w:shd w:val="clear" w:color="auto" w:fill="auto"/>
            <w:tcMar/>
          </w:tcPr>
          <w:p w:rsidRPr="009B00DB" w:rsidR="005106EB" w:rsidP="00AA0FC5" w:rsidRDefault="005106EB" w14:paraId="0A47C4AC" w14:textId="77777777">
            <w:pPr>
              <w:spacing w:before="240" w:after="240"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B00DB">
              <w:rPr>
                <w:rFonts w:ascii="Arial" w:hAnsi="Arial" w:cs="Arial"/>
                <w:b/>
                <w:sz w:val="20"/>
              </w:rPr>
              <w:t>Review Protocol</w:t>
            </w:r>
          </w:p>
        </w:tc>
        <w:tc>
          <w:tcPr>
            <w:tcW w:w="7229" w:type="dxa"/>
            <w:shd w:val="clear" w:color="auto" w:fill="auto"/>
            <w:tcMar/>
          </w:tcPr>
          <w:p w:rsidRPr="00C83791" w:rsidR="005106EB" w:rsidP="00AA0FC5" w:rsidRDefault="005106EB" w14:paraId="7E50A710" w14:textId="77777777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Policy Reviewed By: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Pr="00C83791">
              <w:rPr>
                <w:rFonts w:ascii="Arial" w:hAnsi="Arial" w:cs="Arial"/>
                <w:sz w:val="20"/>
                <w:lang w:val="en-NZ"/>
              </w:rPr>
              <w:t>Audit, Finance &amp; Risk Committee</w:t>
            </w:r>
          </w:p>
          <w:p w:rsidRPr="00C83791" w:rsidR="005106EB" w:rsidP="00AA0FC5" w:rsidRDefault="005106EB" w14:paraId="772613EF" w14:textId="6DEA9D87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Date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F04145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:rsidRPr="00C83791" w:rsidR="005106EB" w:rsidP="00AA0FC5" w:rsidRDefault="005106EB" w14:paraId="0AD7B33C" w14:textId="1A06B401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Next Review Date: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 w:rsidR="00F04145">
              <w:rPr>
                <w:rFonts w:ascii="Arial" w:hAnsi="Arial" w:cs="Arial"/>
                <w:sz w:val="20"/>
                <w:lang w:val="en-NZ"/>
              </w:rPr>
              <w:t>[Date]</w:t>
            </w:r>
          </w:p>
          <w:p w:rsidRPr="00C83791" w:rsidR="005106EB" w:rsidP="00AA0FC5" w:rsidRDefault="005106EB" w14:paraId="1003BE92" w14:textId="77777777">
            <w:pPr>
              <w:tabs>
                <w:tab w:val="left" w:pos="3294"/>
              </w:tabs>
              <w:spacing w:before="240" w:after="240" w:line="360" w:lineRule="auto"/>
              <w:ind w:left="175" w:right="317"/>
              <w:rPr>
                <w:rFonts w:ascii="Arial" w:hAnsi="Arial" w:cs="Arial"/>
                <w:sz w:val="20"/>
                <w:lang w:val="en-NZ"/>
              </w:rPr>
            </w:pPr>
            <w:r w:rsidRPr="00C83791">
              <w:rPr>
                <w:rFonts w:ascii="Arial" w:hAnsi="Arial" w:cs="Arial"/>
                <w:sz w:val="20"/>
                <w:lang w:val="en-NZ"/>
              </w:rPr>
              <w:t>Revokes Policy Reviewed:</w:t>
            </w:r>
            <w:r w:rsidRPr="00C83791">
              <w:rPr>
                <w:rFonts w:ascii="Arial" w:hAnsi="Arial" w:cs="Arial"/>
                <w:sz w:val="20"/>
                <w:lang w:val="en-NZ"/>
              </w:rPr>
              <w:tab/>
            </w:r>
            <w:r>
              <w:rPr>
                <w:rFonts w:ascii="Arial" w:hAnsi="Arial" w:cs="Arial"/>
                <w:sz w:val="20"/>
                <w:lang w:val="en-NZ"/>
              </w:rPr>
              <w:t>[insert date of policy superseded]</w:t>
            </w:r>
          </w:p>
        </w:tc>
      </w:tr>
    </w:tbl>
    <w:p w:rsidRPr="009B00DB" w:rsidR="00C77A59" w:rsidP="00E577D0" w:rsidRDefault="00C77A59" w14:paraId="3120A8A7" w14:textId="77777777">
      <w:pPr>
        <w:rPr>
          <w:rFonts w:ascii="Arial" w:hAnsi="Arial" w:cs="Arial"/>
          <w:lang w:val="en-NZ"/>
        </w:rPr>
      </w:pPr>
    </w:p>
    <w:sectPr w:rsidRPr="009B00DB" w:rsidR="00C77A59" w:rsidSect="00C96AB5">
      <w:headerReference w:type="default" r:id="rId7"/>
      <w:footerReference w:type="default" r:id="rId8"/>
      <w:pgSz w:w="11899" w:h="16838" w:orient="portrait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ADD" w:rsidRDefault="004C2ADD" w14:paraId="7BDD69E3" w14:textId="77777777">
      <w:r>
        <w:separator/>
      </w:r>
    </w:p>
  </w:endnote>
  <w:endnote w:type="continuationSeparator" w:id="0">
    <w:p w:rsidR="004C2ADD" w:rsidRDefault="004C2ADD" w14:paraId="05FB42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6AB5" w:rsidR="0000697D" w:rsidP="000C4042" w:rsidRDefault="0000697D" w14:paraId="376E0755" w14:textId="6B8D05F5">
    <w:pPr>
      <w:pStyle w:val="Footer"/>
      <w:tabs>
        <w:tab w:val="clear" w:pos="4320"/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ADD" w:rsidRDefault="004C2ADD" w14:paraId="0A36E421" w14:textId="77777777">
      <w:r>
        <w:separator/>
      </w:r>
    </w:p>
  </w:footnote>
  <w:footnote w:type="continuationSeparator" w:id="0">
    <w:p w:rsidR="004C2ADD" w:rsidRDefault="004C2ADD" w14:paraId="36D737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7518" w:rsidR="00601E6E" w:rsidP="00601E6E" w:rsidRDefault="00601E6E" w14:paraId="63F9B72F" w14:textId="77777777">
    <w:pPr>
      <w:pStyle w:val="Header"/>
      <w:rPr>
        <w:lang w:val="en-US"/>
      </w:rPr>
    </w:pPr>
    <w:r>
      <w:rPr>
        <w:lang w:val="en-US"/>
      </w:rPr>
      <w:t>{INSERT ORGANISATION LOGO}</w:t>
    </w:r>
  </w:p>
  <w:p w:rsidR="00601E6E" w:rsidRDefault="00601E6E" w14:paraId="2FD7AE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BBB"/>
    <w:multiLevelType w:val="hybridMultilevel"/>
    <w:tmpl w:val="DAA22176"/>
    <w:lvl w:ilvl="0" w:tplc="6E8C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D0674F"/>
    <w:multiLevelType w:val="hybridMultilevel"/>
    <w:tmpl w:val="F8E29C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7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186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34E33"/>
    <w:multiLevelType w:val="hybridMultilevel"/>
    <w:tmpl w:val="132A6FE4"/>
    <w:lvl w:ilvl="0" w:tplc="502C0E6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640119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16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25575">
    <w:abstractNumId w:val="1"/>
  </w:num>
  <w:num w:numId="4" w16cid:durableId="886716971">
    <w:abstractNumId w:val="9"/>
  </w:num>
  <w:num w:numId="5" w16cid:durableId="888539021">
    <w:abstractNumId w:val="2"/>
  </w:num>
  <w:num w:numId="6" w16cid:durableId="1131091607">
    <w:abstractNumId w:val="4"/>
  </w:num>
  <w:num w:numId="7" w16cid:durableId="2008050773">
    <w:abstractNumId w:val="6"/>
  </w:num>
  <w:num w:numId="8" w16cid:durableId="536965272">
    <w:abstractNumId w:val="7"/>
  </w:num>
  <w:num w:numId="9" w16cid:durableId="1115563312">
    <w:abstractNumId w:val="8"/>
  </w:num>
  <w:num w:numId="10" w16cid:durableId="308439570">
    <w:abstractNumId w:val="5"/>
  </w:num>
  <w:num w:numId="11" w16cid:durableId="1433818636">
    <w:abstractNumId w:val="10"/>
  </w:num>
  <w:num w:numId="12" w16cid:durableId="790975410">
    <w:abstractNumId w:val="5"/>
    <w:lvlOverride w:ilvl="0">
      <w:lvl w:ilvl="0" w:tplc="1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1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46211685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CE"/>
    <w:rsid w:val="0000697D"/>
    <w:rsid w:val="000321FB"/>
    <w:rsid w:val="00032971"/>
    <w:rsid w:val="0004519C"/>
    <w:rsid w:val="00070B51"/>
    <w:rsid w:val="000717B3"/>
    <w:rsid w:val="000C4042"/>
    <w:rsid w:val="000F18B2"/>
    <w:rsid w:val="00110105"/>
    <w:rsid w:val="001265C6"/>
    <w:rsid w:val="00177C65"/>
    <w:rsid w:val="001E00F4"/>
    <w:rsid w:val="001F4B72"/>
    <w:rsid w:val="0021138A"/>
    <w:rsid w:val="00234BF1"/>
    <w:rsid w:val="00250FC2"/>
    <w:rsid w:val="00250FF1"/>
    <w:rsid w:val="00252D69"/>
    <w:rsid w:val="002A3DF4"/>
    <w:rsid w:val="002B6CB8"/>
    <w:rsid w:val="002B717F"/>
    <w:rsid w:val="002F0241"/>
    <w:rsid w:val="003333F8"/>
    <w:rsid w:val="003436BE"/>
    <w:rsid w:val="0036711E"/>
    <w:rsid w:val="003A2D0E"/>
    <w:rsid w:val="003C65CE"/>
    <w:rsid w:val="003D6FB9"/>
    <w:rsid w:val="00420FE9"/>
    <w:rsid w:val="004463D3"/>
    <w:rsid w:val="00486C85"/>
    <w:rsid w:val="004C2ADD"/>
    <w:rsid w:val="004C5442"/>
    <w:rsid w:val="005106EB"/>
    <w:rsid w:val="00526E46"/>
    <w:rsid w:val="00571043"/>
    <w:rsid w:val="00584DC6"/>
    <w:rsid w:val="00594434"/>
    <w:rsid w:val="00596EE4"/>
    <w:rsid w:val="005A75D9"/>
    <w:rsid w:val="005E765B"/>
    <w:rsid w:val="005F02DA"/>
    <w:rsid w:val="00601E6E"/>
    <w:rsid w:val="00601EDC"/>
    <w:rsid w:val="00637FD5"/>
    <w:rsid w:val="00653B7E"/>
    <w:rsid w:val="006651C9"/>
    <w:rsid w:val="006A433A"/>
    <w:rsid w:val="006F7EC6"/>
    <w:rsid w:val="007553A2"/>
    <w:rsid w:val="007704FC"/>
    <w:rsid w:val="00796CE5"/>
    <w:rsid w:val="007B5A64"/>
    <w:rsid w:val="007D0023"/>
    <w:rsid w:val="007D00BA"/>
    <w:rsid w:val="0084104B"/>
    <w:rsid w:val="008A49BD"/>
    <w:rsid w:val="008C0AD5"/>
    <w:rsid w:val="008D2F48"/>
    <w:rsid w:val="008E5CB3"/>
    <w:rsid w:val="00950432"/>
    <w:rsid w:val="009673BF"/>
    <w:rsid w:val="0098736F"/>
    <w:rsid w:val="009A1D43"/>
    <w:rsid w:val="009A6640"/>
    <w:rsid w:val="009B00DB"/>
    <w:rsid w:val="00A26FAB"/>
    <w:rsid w:val="00A327F6"/>
    <w:rsid w:val="00A400C0"/>
    <w:rsid w:val="00AA0FC5"/>
    <w:rsid w:val="00AE7002"/>
    <w:rsid w:val="00AF3D13"/>
    <w:rsid w:val="00B03570"/>
    <w:rsid w:val="00B96265"/>
    <w:rsid w:val="00BA48BF"/>
    <w:rsid w:val="00BC273A"/>
    <w:rsid w:val="00BE14FA"/>
    <w:rsid w:val="00BE2A72"/>
    <w:rsid w:val="00BE3310"/>
    <w:rsid w:val="00BF19CC"/>
    <w:rsid w:val="00C23A72"/>
    <w:rsid w:val="00C24342"/>
    <w:rsid w:val="00C34A6E"/>
    <w:rsid w:val="00C432EE"/>
    <w:rsid w:val="00C74405"/>
    <w:rsid w:val="00C77A59"/>
    <w:rsid w:val="00C83791"/>
    <w:rsid w:val="00C96AB5"/>
    <w:rsid w:val="00CE2850"/>
    <w:rsid w:val="00D27527"/>
    <w:rsid w:val="00D35FC3"/>
    <w:rsid w:val="00E577D0"/>
    <w:rsid w:val="00E76110"/>
    <w:rsid w:val="00ED67FF"/>
    <w:rsid w:val="00F04145"/>
    <w:rsid w:val="00F5780E"/>
    <w:rsid w:val="00FC53A4"/>
    <w:rsid w:val="00FD2627"/>
    <w:rsid w:val="1876A2DC"/>
    <w:rsid w:val="6ECDD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5AF532A"/>
  <w15:docId w15:val="{5565C029-55CF-475D-BBE5-A6B4679FA9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able heading"/>
    <w:qFormat/>
    <w:rsid w:val="00C77A59"/>
    <w:rPr>
      <w:rFonts w:ascii="Times New Roman" w:hAnsi="Times New Roman"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7A59"/>
    <w:pPr>
      <w:keepNext/>
      <w:outlineLvl w:val="0"/>
    </w:pPr>
    <w:rPr>
      <w:b/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eading1Char" w:customStyle="1">
    <w:name w:val="Heading 1 Char"/>
    <w:link w:val="Heading1"/>
    <w:rsid w:val="00C77A59"/>
    <w:rPr>
      <w:rFonts w:ascii="Times New Roman" w:hAnsi="Times New Roman" w:eastAsia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NZ"/>
    </w:rPr>
  </w:style>
  <w:style w:type="character" w:styleId="FooterChar" w:customStyle="1">
    <w:name w:val="Footer Char"/>
    <w:basedOn w:val="DefaultParagraphFont"/>
    <w:link w:val="Footer"/>
    <w:uiPriority w:val="99"/>
    <w:rsid w:val="00C96AB5"/>
    <w:rPr>
      <w:rFonts w:ascii="Times New Roman" w:hAnsi="Times New Roman" w:eastAsia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D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02DA"/>
    <w:rPr>
      <w:rFonts w:ascii="Tahoma" w:hAnsi="Tahoma" w:eastAsia="Times New Roman" w:cs="Tahoma"/>
      <w:sz w:val="16"/>
      <w:szCs w:val="16"/>
      <w:lang w:val="en-GB" w:eastAsia="en-US"/>
    </w:rPr>
  </w:style>
  <w:style w:type="character" w:styleId="HeaderChar" w:customStyle="1">
    <w:name w:val="Header Char"/>
    <w:basedOn w:val="DefaultParagraphFont"/>
    <w:link w:val="Header"/>
    <w:rsid w:val="00601E6E"/>
    <w:rPr>
      <w:rFonts w:ascii="Times New Roman" w:hAnsi="Times New Roman" w:eastAsia="Times New Roman"/>
      <w:sz w:val="24"/>
      <w:lang w:val="en-GB" w:eastAsia="en-US"/>
    </w:rPr>
  </w:style>
  <w:style w:type="paragraph" w:styleId="Revision">
    <w:name w:val="Revision"/>
    <w:hidden/>
    <w:uiPriority w:val="71"/>
    <w:rsid w:val="00BA48BF"/>
    <w:rPr>
      <w:rFonts w:ascii="Times New Roman" w:hAnsi="Times New Roman"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DA38D906-C631-428D-A20E-B984DFACAFE0}"/>
</file>

<file path=customXml/itemProps2.xml><?xml version="1.0" encoding="utf-8"?>
<ds:datastoreItem xmlns:ds="http://schemas.openxmlformats.org/officeDocument/2006/customXml" ds:itemID="{F0AFE51F-6A7E-49BA-9101-AA28BFF237EE}"/>
</file>

<file path=customXml/itemProps3.xml><?xml version="1.0" encoding="utf-8"?>
<ds:datastoreItem xmlns:ds="http://schemas.openxmlformats.org/officeDocument/2006/customXml" ds:itemID="{2AAA0CCC-AD01-4077-AEE2-D0CC8A11A1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 Colour</ap:Template>
  <ap:Application>Microsoft Word for the web</ap:Application>
  <ap:DocSecurity>0</ap:DocSecurity>
  <ap:ScaleCrop>false</ap:ScaleCrop>
  <ap:Company>Totem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BDO Wellington</dc:creator>
  <lastModifiedBy>Hugh Henderson</lastModifiedBy>
  <revision>12</revision>
  <lastPrinted>2012-06-27T03:19:00.0000000Z</lastPrinted>
  <dcterms:created xsi:type="dcterms:W3CDTF">2023-08-05T06:27:00.0000000Z</dcterms:created>
  <dcterms:modified xsi:type="dcterms:W3CDTF">2023-09-19T23:43:14.0091395Z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