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AAD1" w14:textId="3E9372DA" w:rsidR="00633786" w:rsidRDefault="00270F68" w:rsidP="00633786">
      <w:pPr>
        <w:pStyle w:val="Heading1"/>
      </w:pPr>
      <w:r>
        <w:rPr>
          <w:rFonts w:ascii="Arial" w:hAnsi="Arial" w:cs="Arial"/>
          <w:color w:val="001489"/>
        </w:rPr>
        <w:pict w14:anchorId="3E50D8A1">
          <v:rect id="_x0000_i1025" style="width:0;height:1.5pt" o:hralign="center" o:hrstd="t" o:hr="t" fillcolor="#a0a0a0" stroked="f"/>
        </w:pict>
      </w:r>
    </w:p>
    <w:p w14:paraId="1FC27D5D" w14:textId="66E21E8B" w:rsidR="00633786" w:rsidRDefault="00633786" w:rsidP="00633786">
      <w:pPr>
        <w:pStyle w:val="Heading1"/>
      </w:pPr>
      <w:r>
        <w:t>FINANCIAL POLICIES AND PROCEDURES</w:t>
      </w:r>
    </w:p>
    <w:p w14:paraId="30E7B888" w14:textId="02B248AA" w:rsidR="00633786" w:rsidRDefault="00270F68" w:rsidP="00633786">
      <w:pPr>
        <w:pStyle w:val="Heading2"/>
      </w:pPr>
      <w:r>
        <w:rPr>
          <w:rFonts w:ascii="Arial" w:hAnsi="Arial" w:cs="Arial"/>
          <w:b/>
          <w:color w:val="001489"/>
        </w:rPr>
        <w:pict w14:anchorId="39A9F148">
          <v:rect id="_x0000_i1026" style="width:0;height:1.5pt" o:hralign="center" o:hrstd="t" o:hr="t" fillcolor="#a0a0a0" stroked="f"/>
        </w:pict>
      </w:r>
      <w:r w:rsidR="00633786">
        <w:br/>
      </w:r>
      <w:r w:rsidR="00633786">
        <w:br/>
        <w:t>SECTION 1:</w:t>
      </w:r>
      <w:r w:rsidR="00633786">
        <w:tab/>
        <w:t>FINANCIAL MANAGEMENT</w:t>
      </w:r>
    </w:p>
    <w:p w14:paraId="449EFCEB" w14:textId="77777777" w:rsidR="00633786" w:rsidRDefault="00633786" w:rsidP="00633786">
      <w:pPr>
        <w:pStyle w:val="Heading2"/>
      </w:pPr>
      <w:r>
        <w:t>POLICY 4:</w:t>
      </w:r>
      <w:r>
        <w:tab/>
        <w:t>FINANCIAL REPORTING &amp; MONITORING</w:t>
      </w:r>
    </w:p>
    <w:p w14:paraId="1E2B50B0" w14:textId="227405AD" w:rsidR="00633786" w:rsidRPr="00633786" w:rsidRDefault="00633786" w:rsidP="00633786">
      <w:pPr>
        <w:pStyle w:val="Heading3"/>
      </w:pPr>
      <w:r>
        <w:br/>
        <w:t>Policy Rationale</w:t>
      </w:r>
      <w:r>
        <w:br/>
      </w:r>
    </w:p>
    <w:p w14:paraId="2259A71A" w14:textId="4C0369C6" w:rsidR="00633786" w:rsidRDefault="00633786" w:rsidP="00633786">
      <w:proofErr w:type="gramStart"/>
      <w:r>
        <w:t>In order for</w:t>
      </w:r>
      <w:proofErr w:type="gramEnd"/>
      <w:r>
        <w:t xml:space="preserve"> the Board to make informed and meaningful decisions the financial reporting presented to the Board must be: </w:t>
      </w:r>
    </w:p>
    <w:p w14:paraId="646C6137" w14:textId="6433F781" w:rsidR="00633786" w:rsidRDefault="00633786" w:rsidP="00633786">
      <w:pPr>
        <w:pStyle w:val="ListParagraph"/>
        <w:numPr>
          <w:ilvl w:val="0"/>
          <w:numId w:val="2"/>
        </w:numPr>
      </w:pPr>
      <w:r>
        <w:t xml:space="preserve">In a format that all Board members </w:t>
      </w:r>
      <w:proofErr w:type="gramStart"/>
      <w:r>
        <w:t>are able to</w:t>
      </w:r>
      <w:proofErr w:type="gramEnd"/>
      <w:r>
        <w:t xml:space="preserve"> understand</w:t>
      </w:r>
    </w:p>
    <w:p w14:paraId="2CDA73D7" w14:textId="2F2A3AEA" w:rsidR="00633786" w:rsidRDefault="00633786" w:rsidP="00633786">
      <w:pPr>
        <w:pStyle w:val="ListParagraph"/>
        <w:numPr>
          <w:ilvl w:val="0"/>
          <w:numId w:val="2"/>
        </w:numPr>
      </w:pPr>
      <w:r>
        <w:t>Regular, timely and comparable</w:t>
      </w:r>
    </w:p>
    <w:p w14:paraId="539AD86B" w14:textId="30F27D1C" w:rsidR="00633786" w:rsidRDefault="00633786" w:rsidP="00633786">
      <w:pPr>
        <w:pStyle w:val="ListParagraph"/>
        <w:numPr>
          <w:ilvl w:val="0"/>
          <w:numId w:val="2"/>
        </w:numPr>
      </w:pPr>
      <w:r>
        <w:t>A true and accurate account of the financial affairs of the organisation</w:t>
      </w:r>
    </w:p>
    <w:p w14:paraId="766D6E7D" w14:textId="77777777" w:rsidR="00633786" w:rsidRDefault="00633786" w:rsidP="00633786">
      <w:r>
        <w:t>The Annual Financial Statements will only be meaningful to external stakeholders if produced in an accurate, timely and professional manner.</w:t>
      </w:r>
    </w:p>
    <w:p w14:paraId="4634B9E8" w14:textId="580A9164" w:rsidR="00633786" w:rsidRDefault="00633786" w:rsidP="00633786">
      <w:pPr>
        <w:pStyle w:val="Heading3"/>
      </w:pPr>
      <w:r>
        <w:t>Policy Statement(s)</w:t>
      </w:r>
      <w:r>
        <w:tab/>
      </w:r>
      <w:r>
        <w:br/>
      </w:r>
    </w:p>
    <w:p w14:paraId="5F34A7A5" w14:textId="39A33BAA" w:rsidR="00633786" w:rsidRDefault="00633786" w:rsidP="00633786">
      <w:r>
        <w:t>All financial reports submitted to the Board by the CEO shall:</w:t>
      </w:r>
    </w:p>
    <w:p w14:paraId="02105710" w14:textId="7B8B7D33" w:rsidR="00633786" w:rsidRDefault="00633786" w:rsidP="00633786">
      <w:pPr>
        <w:pStyle w:val="ListParagraph"/>
        <w:numPr>
          <w:ilvl w:val="0"/>
          <w:numId w:val="4"/>
        </w:numPr>
      </w:pPr>
      <w:r>
        <w:t xml:space="preserve">Reflect a true and accurate </w:t>
      </w:r>
      <w:proofErr w:type="gramStart"/>
      <w:r>
        <w:t>picture</w:t>
      </w:r>
      <w:proofErr w:type="gramEnd"/>
      <w:r>
        <w:t xml:space="preserve"> </w:t>
      </w:r>
    </w:p>
    <w:p w14:paraId="47E8A66D" w14:textId="09CB2F71" w:rsidR="00633786" w:rsidRDefault="00633786" w:rsidP="00633786">
      <w:pPr>
        <w:pStyle w:val="ListParagraph"/>
        <w:numPr>
          <w:ilvl w:val="0"/>
          <w:numId w:val="4"/>
        </w:numPr>
      </w:pPr>
      <w:r>
        <w:t xml:space="preserve">Be a complete representation of the organisation’s financial performance and </w:t>
      </w:r>
      <w:proofErr w:type="gramStart"/>
      <w:r>
        <w:t>position</w:t>
      </w:r>
      <w:proofErr w:type="gramEnd"/>
    </w:p>
    <w:p w14:paraId="4345847B" w14:textId="7F1889C2" w:rsidR="00633786" w:rsidRDefault="00633786" w:rsidP="00633786">
      <w:pPr>
        <w:pStyle w:val="ListParagraph"/>
        <w:numPr>
          <w:ilvl w:val="0"/>
          <w:numId w:val="4"/>
        </w:numPr>
      </w:pPr>
      <w:r>
        <w:t xml:space="preserve">Utilise standard financial reporting formats which present the data in a way that makes it easy to interpret or understand and comply with the necessary legal and accounting </w:t>
      </w:r>
      <w:proofErr w:type="gramStart"/>
      <w:r>
        <w:t>requirements</w:t>
      </w:r>
      <w:proofErr w:type="gramEnd"/>
    </w:p>
    <w:p w14:paraId="5CF84E34" w14:textId="7DDFBBB4" w:rsidR="00633786" w:rsidRDefault="00633786" w:rsidP="00633786">
      <w:pPr>
        <w:pStyle w:val="ListParagraph"/>
        <w:numPr>
          <w:ilvl w:val="0"/>
          <w:numId w:val="4"/>
        </w:numPr>
      </w:pPr>
      <w:r>
        <w:t xml:space="preserve">Comply with the agreed Board reporting </w:t>
      </w:r>
      <w:proofErr w:type="gramStart"/>
      <w:r>
        <w:t>procedures</w:t>
      </w:r>
      <w:proofErr w:type="gramEnd"/>
    </w:p>
    <w:p w14:paraId="3CDD13D5" w14:textId="17ED8C94" w:rsidR="00633786" w:rsidRDefault="00633786" w:rsidP="00633786">
      <w:pPr>
        <w:pStyle w:val="ListParagraph"/>
        <w:numPr>
          <w:ilvl w:val="0"/>
          <w:numId w:val="4"/>
        </w:numPr>
      </w:pPr>
      <w:r>
        <w:t xml:space="preserve">Be presented on a [monthly / quarterly] </w:t>
      </w:r>
      <w:proofErr w:type="gramStart"/>
      <w:r>
        <w:t>basis</w:t>
      </w:r>
      <w:proofErr w:type="gramEnd"/>
    </w:p>
    <w:p w14:paraId="084E9E49" w14:textId="71FDC8CD" w:rsidR="00633786" w:rsidRDefault="00633786" w:rsidP="00633786">
      <w:pPr>
        <w:pStyle w:val="ListParagraph"/>
        <w:numPr>
          <w:ilvl w:val="0"/>
          <w:numId w:val="4"/>
        </w:numPr>
      </w:pPr>
      <w:r>
        <w:t>Easily allow comparison between actual and budget</w:t>
      </w:r>
    </w:p>
    <w:p w14:paraId="4B1B0A12" w14:textId="230A5BE8" w:rsidR="00633786" w:rsidRDefault="00633786" w:rsidP="00633786">
      <w:pPr>
        <w:pStyle w:val="ListParagraph"/>
        <w:numPr>
          <w:ilvl w:val="0"/>
          <w:numId w:val="4"/>
        </w:numPr>
      </w:pPr>
      <w:r>
        <w:t xml:space="preserve">Be made available to the Board and Audit, Finance &amp; Risk Committee as </w:t>
      </w:r>
      <w:proofErr w:type="gramStart"/>
      <w:r>
        <w:t>required</w:t>
      </w:r>
      <w:proofErr w:type="gramEnd"/>
    </w:p>
    <w:p w14:paraId="675E2D2D" w14:textId="35370D69" w:rsidR="00633786" w:rsidRDefault="00633786" w:rsidP="00633786">
      <w:pPr>
        <w:pStyle w:val="ListParagraph"/>
        <w:numPr>
          <w:ilvl w:val="0"/>
          <w:numId w:val="4"/>
        </w:numPr>
      </w:pPr>
      <w:r>
        <w:t>Comment on trends and variances</w:t>
      </w:r>
    </w:p>
    <w:p w14:paraId="21FCF5C9" w14:textId="05E96102" w:rsidR="00633786" w:rsidRDefault="00633786" w:rsidP="00633786">
      <w:r>
        <w:t>At the completion of the annual reporting period, the Annual Financial Statements are to be prepared in an appropriate format (as per relevant legislation), a timely manner and forwarded to the Auditor [if applicable].</w:t>
      </w:r>
    </w:p>
    <w:p w14:paraId="2EA1AECD" w14:textId="3E79314E" w:rsidR="00633786" w:rsidRPr="00633786" w:rsidRDefault="00633786" w:rsidP="00633786">
      <w:pPr>
        <w:pStyle w:val="Heading3"/>
      </w:pPr>
      <w:r>
        <w:t>Policy Implementation and Related Procedure Documents</w:t>
      </w:r>
      <w:r>
        <w:tab/>
      </w:r>
      <w:r>
        <w:br/>
      </w:r>
    </w:p>
    <w:p w14:paraId="006DE841" w14:textId="28789779" w:rsidR="00633786" w:rsidRDefault="00633786" w:rsidP="00633786">
      <w:r>
        <w:t xml:space="preserve">The implementation and review of these Financial Reporting &amp; Monitoring policies are the responsibility of </w:t>
      </w:r>
      <w:r w:rsidRPr="00633786">
        <w:rPr>
          <w:rFonts w:cstheme="minorHAnsi"/>
          <w:color w:val="001489"/>
        </w:rPr>
        <w:t>[organisation]</w:t>
      </w:r>
      <w:r>
        <w:t>’s board.</w:t>
      </w:r>
    </w:p>
    <w:p w14:paraId="1373BCFD" w14:textId="77777777" w:rsidR="00633786" w:rsidRDefault="00633786" w:rsidP="00633786">
      <w:r>
        <w:t xml:space="preserve">The implementation of Financial Reporting &amp; Monitoring procedures </w:t>
      </w:r>
      <w:proofErr w:type="gramStart"/>
      <w:r>
        <w:t>are</w:t>
      </w:r>
      <w:proofErr w:type="gramEnd"/>
      <w:r>
        <w:t xml:space="preserve"> the responsibility of the </w:t>
      </w:r>
      <w:r w:rsidRPr="00E433D5">
        <w:rPr>
          <w:rFonts w:cstheme="minorHAnsi"/>
          <w:color w:val="001489"/>
        </w:rPr>
        <w:t>[organisation]</w:t>
      </w:r>
      <w:r>
        <w:t>’s CFO / Finance Manager. They are also responsible for the preparation of all financial reports.</w:t>
      </w:r>
    </w:p>
    <w:p w14:paraId="5A25F24D" w14:textId="77777777" w:rsidR="00633786" w:rsidRDefault="00633786" w:rsidP="00633786">
      <w:r>
        <w:t xml:space="preserve">The following </w:t>
      </w:r>
      <w:r w:rsidRPr="00633786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7CCD68BF" w14:textId="27801866" w:rsidR="00633786" w:rsidRDefault="00633786" w:rsidP="00633786">
      <w:pPr>
        <w:pStyle w:val="ListParagraph"/>
        <w:numPr>
          <w:ilvl w:val="0"/>
          <w:numId w:val="6"/>
        </w:numPr>
      </w:pPr>
      <w:r>
        <w:lastRenderedPageBreak/>
        <w:t>Finance Manual [if the organisation has one]</w:t>
      </w:r>
    </w:p>
    <w:p w14:paraId="6F3857C7" w14:textId="3804A97B" w:rsidR="00633786" w:rsidRDefault="00633786" w:rsidP="00633786">
      <w:pPr>
        <w:pStyle w:val="ListParagraph"/>
        <w:numPr>
          <w:ilvl w:val="0"/>
          <w:numId w:val="6"/>
        </w:numPr>
      </w:pPr>
      <w:r>
        <w:t>Accountability, Internal Controls and Audit Policy</w:t>
      </w:r>
    </w:p>
    <w:p w14:paraId="5F8C58D0" w14:textId="69CA1450" w:rsidR="00633786" w:rsidRDefault="00633786" w:rsidP="00633786">
      <w:pPr>
        <w:pStyle w:val="ListParagraph"/>
        <w:numPr>
          <w:ilvl w:val="0"/>
          <w:numId w:val="6"/>
        </w:numPr>
      </w:pPr>
      <w:r>
        <w:t>Financial Systems &amp; Procedures Policy</w:t>
      </w:r>
    </w:p>
    <w:p w14:paraId="26381694" w14:textId="2BA50BE8" w:rsidR="00633786" w:rsidRDefault="00633786" w:rsidP="00633786">
      <w:pPr>
        <w:pStyle w:val="ListParagraph"/>
        <w:numPr>
          <w:ilvl w:val="0"/>
          <w:numId w:val="6"/>
        </w:numPr>
      </w:pPr>
      <w:r>
        <w:t>Budgeting Policy</w:t>
      </w:r>
    </w:p>
    <w:p w14:paraId="50C6FEA3" w14:textId="3F53B919" w:rsidR="00633786" w:rsidRDefault="00633786" w:rsidP="00633786">
      <w:pPr>
        <w:pStyle w:val="ListParagraph"/>
        <w:numPr>
          <w:ilvl w:val="0"/>
          <w:numId w:val="6"/>
        </w:numPr>
      </w:pPr>
      <w:r>
        <w:t>Commercial Activities, Grants &amp; Funding Policy</w:t>
      </w:r>
    </w:p>
    <w:p w14:paraId="7D238901" w14:textId="0E2FC4BC" w:rsidR="00633786" w:rsidRDefault="00633786" w:rsidP="00633786">
      <w:pPr>
        <w:pStyle w:val="ListParagraph"/>
        <w:numPr>
          <w:ilvl w:val="0"/>
          <w:numId w:val="6"/>
        </w:numPr>
      </w:pPr>
      <w:r>
        <w:t>Tax Policies</w:t>
      </w:r>
    </w:p>
    <w:p w14:paraId="78762122" w14:textId="77777777" w:rsidR="00633786" w:rsidRDefault="00633786" w:rsidP="00633786">
      <w:pPr>
        <w:pStyle w:val="Heading3"/>
      </w:pPr>
      <w:r>
        <w:t>Legislative Compliance Considerations</w:t>
      </w:r>
    </w:p>
    <w:p w14:paraId="29CBCDAE" w14:textId="0A9E5D83" w:rsidR="00633786" w:rsidRDefault="00633786" w:rsidP="00633786">
      <w:pPr>
        <w:pStyle w:val="Heading3"/>
      </w:pPr>
      <w:r>
        <w:tab/>
      </w:r>
    </w:p>
    <w:p w14:paraId="574BEABE" w14:textId="31E8A1CB" w:rsidR="00633786" w:rsidRDefault="00633786" w:rsidP="00633786">
      <w:pPr>
        <w:pStyle w:val="ListParagraph"/>
        <w:numPr>
          <w:ilvl w:val="0"/>
          <w:numId w:val="6"/>
        </w:numPr>
      </w:pPr>
      <w:r>
        <w:t>Companies Act 1993 [if a Company]</w:t>
      </w:r>
    </w:p>
    <w:p w14:paraId="16794CC6" w14:textId="36A09536" w:rsidR="00633786" w:rsidRDefault="00633786" w:rsidP="00633786">
      <w:pPr>
        <w:pStyle w:val="ListParagraph"/>
        <w:numPr>
          <w:ilvl w:val="0"/>
          <w:numId w:val="6"/>
        </w:numPr>
      </w:pPr>
      <w:r>
        <w:t>Constitution [if a Company]</w:t>
      </w:r>
    </w:p>
    <w:p w14:paraId="468301ED" w14:textId="215F147B" w:rsidR="00633786" w:rsidRDefault="00633786" w:rsidP="00633786">
      <w:pPr>
        <w:pStyle w:val="ListParagraph"/>
        <w:numPr>
          <w:ilvl w:val="0"/>
          <w:numId w:val="6"/>
        </w:numPr>
      </w:pPr>
      <w:r>
        <w:t>Incorporated Societies Act 1908 [if an Incorporated Society]</w:t>
      </w:r>
    </w:p>
    <w:p w14:paraId="2AEDAB34" w14:textId="220DBF10" w:rsidR="00633786" w:rsidRDefault="00633786" w:rsidP="00633786">
      <w:pPr>
        <w:pStyle w:val="ListParagraph"/>
        <w:numPr>
          <w:ilvl w:val="0"/>
          <w:numId w:val="6"/>
        </w:numPr>
      </w:pPr>
      <w:r>
        <w:t>Incorporated Societies Act 2022 [applicable if an Incorporated Society registered under the new Act. Reregistration is available from 5 October 2023]</w:t>
      </w:r>
    </w:p>
    <w:p w14:paraId="7ACDB604" w14:textId="2B57AB1D" w:rsidR="00633786" w:rsidRDefault="00633786" w:rsidP="00633786">
      <w:pPr>
        <w:pStyle w:val="ListParagraph"/>
        <w:numPr>
          <w:ilvl w:val="0"/>
          <w:numId w:val="6"/>
        </w:numPr>
      </w:pPr>
      <w:r>
        <w:t>Incorporated Society Rules [if an Incorporated Society registered under the 1908 Act]</w:t>
      </w:r>
    </w:p>
    <w:p w14:paraId="40CCA646" w14:textId="41544E50" w:rsidR="00633786" w:rsidRDefault="00633786" w:rsidP="00633786">
      <w:pPr>
        <w:pStyle w:val="ListParagraph"/>
        <w:numPr>
          <w:ilvl w:val="0"/>
          <w:numId w:val="6"/>
        </w:numPr>
      </w:pPr>
      <w:r>
        <w:t>Incorporated Society Constitution [if an Incorporated Society registered under the 2022 Act]</w:t>
      </w:r>
    </w:p>
    <w:p w14:paraId="061397C9" w14:textId="3EB5E2B9" w:rsidR="00633786" w:rsidRDefault="00633786" w:rsidP="00633786">
      <w:pPr>
        <w:pStyle w:val="ListParagraph"/>
        <w:numPr>
          <w:ilvl w:val="0"/>
          <w:numId w:val="6"/>
        </w:numPr>
      </w:pPr>
      <w:r>
        <w:t>Trust Deed [if a Trust]</w:t>
      </w:r>
    </w:p>
    <w:p w14:paraId="38B2B105" w14:textId="51C56FFC" w:rsidR="00633786" w:rsidRDefault="00633786" w:rsidP="00633786">
      <w:pPr>
        <w:pStyle w:val="ListParagraph"/>
        <w:numPr>
          <w:ilvl w:val="0"/>
          <w:numId w:val="6"/>
        </w:numPr>
      </w:pPr>
      <w:r>
        <w:t>Trusts Act 2019 [if a Trust]</w:t>
      </w:r>
    </w:p>
    <w:p w14:paraId="3A3DCCBB" w14:textId="7E66B0FD" w:rsidR="00633786" w:rsidRDefault="00633786" w:rsidP="00633786">
      <w:pPr>
        <w:pStyle w:val="ListParagraph"/>
        <w:numPr>
          <w:ilvl w:val="0"/>
          <w:numId w:val="6"/>
        </w:numPr>
      </w:pPr>
      <w:r>
        <w:t>Charities Act 2005 [if a registered Charity]</w:t>
      </w:r>
    </w:p>
    <w:p w14:paraId="6FE3F972" w14:textId="1CCA30D2" w:rsidR="00633786" w:rsidRDefault="00633786" w:rsidP="00633786">
      <w:pPr>
        <w:pStyle w:val="ListParagraph"/>
        <w:numPr>
          <w:ilvl w:val="0"/>
          <w:numId w:val="6"/>
        </w:numPr>
      </w:pPr>
      <w:r>
        <w:t>Financial Reporting Regulations 2015 [if appropriate]</w:t>
      </w:r>
    </w:p>
    <w:p w14:paraId="17E5909D" w14:textId="51FD55E2" w:rsidR="00633786" w:rsidRDefault="00633786" w:rsidP="00633786">
      <w:pPr>
        <w:pStyle w:val="ListParagraph"/>
        <w:numPr>
          <w:ilvl w:val="0"/>
          <w:numId w:val="6"/>
        </w:numPr>
      </w:pPr>
      <w:r>
        <w:t>Financial Reporting Act 2013 [if appropriate]</w:t>
      </w:r>
    </w:p>
    <w:p w14:paraId="5CE996CC" w14:textId="5672B797" w:rsidR="00633786" w:rsidRDefault="00633786" w:rsidP="00633786">
      <w:pPr>
        <w:pStyle w:val="ListParagraph"/>
        <w:numPr>
          <w:ilvl w:val="0"/>
          <w:numId w:val="6"/>
        </w:numPr>
      </w:pPr>
      <w:r>
        <w:t>Tax Administration Act 1994</w:t>
      </w:r>
    </w:p>
    <w:p w14:paraId="084B000E" w14:textId="263D2DB9" w:rsidR="00633786" w:rsidRDefault="00633786" w:rsidP="00633786">
      <w:pPr>
        <w:pStyle w:val="ListParagraph"/>
        <w:numPr>
          <w:ilvl w:val="0"/>
          <w:numId w:val="6"/>
        </w:numPr>
      </w:pPr>
      <w:r>
        <w:t>Tax Administration (Financial Statements) Order 2014</w:t>
      </w:r>
    </w:p>
    <w:p w14:paraId="404DDACC" w14:textId="58348D2E" w:rsidR="00633786" w:rsidRDefault="00633786" w:rsidP="00633786">
      <w:pPr>
        <w:pStyle w:val="ListParagraph"/>
        <w:numPr>
          <w:ilvl w:val="0"/>
          <w:numId w:val="6"/>
        </w:numPr>
      </w:pPr>
      <w:r>
        <w:t>Goods and Services Tax Act 1985</w:t>
      </w:r>
    </w:p>
    <w:p w14:paraId="05CFA96B" w14:textId="50989899" w:rsidR="00633786" w:rsidRDefault="00633786" w:rsidP="00633786">
      <w:pPr>
        <w:pStyle w:val="ListParagraph"/>
        <w:numPr>
          <w:ilvl w:val="0"/>
          <w:numId w:val="6"/>
        </w:numPr>
      </w:pPr>
      <w:r>
        <w:t>XRB Reporting Standards</w:t>
      </w:r>
    </w:p>
    <w:p w14:paraId="0CBDFF75" w14:textId="39C8EDBE" w:rsidR="00633786" w:rsidRDefault="00633786" w:rsidP="00633786">
      <w:pPr>
        <w:pStyle w:val="Heading3"/>
      </w:pPr>
      <w:r>
        <w:t>Review Protocol</w:t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633786" w:rsidRPr="000D0267" w14:paraId="22991F5A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1D03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0" w:name="_Hlk146638555"/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F91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633786" w:rsidRPr="000D0267" w14:paraId="0457FB15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2B8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16F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633786" w:rsidRPr="000D0267" w14:paraId="4CA1534D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FA3E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D67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633786" w:rsidRPr="000D0267" w14:paraId="7772F04E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69D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267A" w14:textId="77777777" w:rsidR="00633786" w:rsidRPr="000D0267" w:rsidRDefault="0063378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0"/>
    </w:tbl>
    <w:p w14:paraId="3B7BA60E" w14:textId="77777777" w:rsidR="00AC5F2A" w:rsidRDefault="00AC5F2A"/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2703" w14:textId="77777777" w:rsidR="00270F68" w:rsidRDefault="00270F68" w:rsidP="00270F68">
      <w:pPr>
        <w:spacing w:after="0" w:line="240" w:lineRule="auto"/>
      </w:pPr>
      <w:r>
        <w:separator/>
      </w:r>
    </w:p>
  </w:endnote>
  <w:endnote w:type="continuationSeparator" w:id="0">
    <w:p w14:paraId="7F38D5DD" w14:textId="77777777" w:rsidR="00270F68" w:rsidRDefault="00270F68" w:rsidP="0027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0B39" w14:textId="77777777" w:rsidR="00270F68" w:rsidRDefault="00270F68" w:rsidP="00270F68">
      <w:pPr>
        <w:spacing w:after="0" w:line="240" w:lineRule="auto"/>
      </w:pPr>
      <w:r>
        <w:separator/>
      </w:r>
    </w:p>
  </w:footnote>
  <w:footnote w:type="continuationSeparator" w:id="0">
    <w:p w14:paraId="6F188A16" w14:textId="77777777" w:rsidR="00270F68" w:rsidRDefault="00270F68" w:rsidP="0027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4549" w14:textId="6D56B8BD" w:rsidR="00270F68" w:rsidRDefault="00270F68" w:rsidP="00270F68">
    <w:pPr>
      <w:pStyle w:val="Header"/>
    </w:pPr>
    <w:r>
      <w:t>{INSERT ORGANISATION LOGO}</w:t>
    </w:r>
  </w:p>
  <w:p w14:paraId="2AC24E94" w14:textId="6240DC77" w:rsidR="00270F68" w:rsidRDefault="00270F68">
    <w:pPr>
      <w:pStyle w:val="Header"/>
    </w:pPr>
  </w:p>
  <w:p w14:paraId="23324AE6" w14:textId="77777777" w:rsidR="00270F68" w:rsidRDefault="0027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79C"/>
    <w:multiLevelType w:val="hybridMultilevel"/>
    <w:tmpl w:val="D3B08DAC"/>
    <w:lvl w:ilvl="0" w:tplc="BBAC2F20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523D"/>
    <w:multiLevelType w:val="hybridMultilevel"/>
    <w:tmpl w:val="7B10B640"/>
    <w:lvl w:ilvl="0" w:tplc="064879B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B2F"/>
    <w:multiLevelType w:val="hybridMultilevel"/>
    <w:tmpl w:val="EF44A3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03F2E"/>
    <w:multiLevelType w:val="hybridMultilevel"/>
    <w:tmpl w:val="86F0255A"/>
    <w:lvl w:ilvl="0" w:tplc="BBAC2F20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2431D"/>
    <w:multiLevelType w:val="hybridMultilevel"/>
    <w:tmpl w:val="031CC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01AD5"/>
    <w:multiLevelType w:val="hybridMultilevel"/>
    <w:tmpl w:val="21925B5C"/>
    <w:lvl w:ilvl="0" w:tplc="541C49DC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53BA7"/>
    <w:multiLevelType w:val="hybridMultilevel"/>
    <w:tmpl w:val="73FC1EAA"/>
    <w:lvl w:ilvl="0" w:tplc="541C49DC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5206">
    <w:abstractNumId w:val="2"/>
  </w:num>
  <w:num w:numId="2" w16cid:durableId="616377312">
    <w:abstractNumId w:val="3"/>
  </w:num>
  <w:num w:numId="3" w16cid:durableId="469447113">
    <w:abstractNumId w:val="0"/>
  </w:num>
  <w:num w:numId="4" w16cid:durableId="430198555">
    <w:abstractNumId w:val="1"/>
  </w:num>
  <w:num w:numId="5" w16cid:durableId="1027944473">
    <w:abstractNumId w:val="4"/>
  </w:num>
  <w:num w:numId="6" w16cid:durableId="731082234">
    <w:abstractNumId w:val="6"/>
  </w:num>
  <w:num w:numId="7" w16cid:durableId="111440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86"/>
    <w:rsid w:val="00014DFE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70F68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33786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433D5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B55DBA"/>
  <w15:chartTrackingRefBased/>
  <w15:docId w15:val="{F5BA195F-8400-4F4C-BB21-21F6B2D5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7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3D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7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68"/>
  </w:style>
  <w:style w:type="paragraph" w:styleId="Footer">
    <w:name w:val="footer"/>
    <w:basedOn w:val="Normal"/>
    <w:link w:val="FooterChar"/>
    <w:uiPriority w:val="99"/>
    <w:unhideWhenUsed/>
    <w:rsid w:val="0027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AEDD45CE-8E58-4FDF-9DC1-352820CF9B39}"/>
</file>

<file path=customXml/itemProps2.xml><?xml version="1.0" encoding="utf-8"?>
<ds:datastoreItem xmlns:ds="http://schemas.openxmlformats.org/officeDocument/2006/customXml" ds:itemID="{57886A65-3F3B-4A43-BCB5-452F6F51B862}"/>
</file>

<file path=customXml/itemProps3.xml><?xml version="1.0" encoding="utf-8"?>
<ds:datastoreItem xmlns:ds="http://schemas.openxmlformats.org/officeDocument/2006/customXml" ds:itemID="{D8AB73F5-1E81-47ED-9ED8-001780927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2023-09-26T06:58:00Z</dcterms:created>
  <dcterms:modified xsi:type="dcterms:W3CDTF">2023-09-28T22:53:00Z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