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8FCE4" w14:textId="77777777" w:rsidR="00510FD3" w:rsidRPr="00CC4610" w:rsidRDefault="00510FD3" w:rsidP="00CC4610">
      <w:pPr>
        <w:pStyle w:val="Heading2"/>
        <w:spacing w:before="120" w:after="120"/>
        <w:ind w:right="-1004"/>
        <w:rPr>
          <w:rFonts w:ascii="Arial" w:hAnsi="Arial" w:cs="Arial"/>
        </w:rPr>
      </w:pPr>
      <w:bookmarkStart w:id="0" w:name="_GoBack"/>
      <w:bookmarkEnd w:id="0"/>
      <w:r w:rsidRPr="00CC4610">
        <w:rPr>
          <w:rFonts w:ascii="Arial" w:hAnsi="Arial" w:cs="Arial"/>
        </w:rPr>
        <w:t>Health and safety reforms update – the changes at a glance</w:t>
      </w:r>
    </w:p>
    <w:tbl>
      <w:tblPr>
        <w:tblStyle w:val="TableGrid"/>
        <w:tblW w:w="11058" w:type="dxa"/>
        <w:tblInd w:w="-885" w:type="dxa"/>
        <w:tblLayout w:type="fixed"/>
        <w:tblLook w:val="04A0" w:firstRow="1" w:lastRow="0" w:firstColumn="1" w:lastColumn="0" w:noHBand="0" w:noVBand="1"/>
      </w:tblPr>
      <w:tblGrid>
        <w:gridCol w:w="1986"/>
        <w:gridCol w:w="4606"/>
        <w:gridCol w:w="4466"/>
      </w:tblGrid>
      <w:tr w:rsidR="00510FD3" w:rsidRPr="00CC4610" w14:paraId="1197E652" w14:textId="77777777" w:rsidTr="00615A2D">
        <w:trPr>
          <w:tblHeader/>
        </w:trPr>
        <w:tc>
          <w:tcPr>
            <w:tcW w:w="1986" w:type="dxa"/>
          </w:tcPr>
          <w:p w14:paraId="7437C4E5" w14:textId="77777777" w:rsidR="00510FD3" w:rsidRPr="00CC4610" w:rsidRDefault="00510FD3" w:rsidP="00203D0F">
            <w:pPr>
              <w:pStyle w:val="Heading3"/>
              <w:outlineLvl w:val="2"/>
              <w:rPr>
                <w:rFonts w:ascii="Arial" w:hAnsi="Arial" w:cs="Arial"/>
              </w:rPr>
            </w:pPr>
            <w:r w:rsidRPr="00CC4610">
              <w:rPr>
                <w:rFonts w:ascii="Arial" w:hAnsi="Arial" w:cs="Arial"/>
              </w:rPr>
              <w:t>Topic</w:t>
            </w:r>
          </w:p>
        </w:tc>
        <w:tc>
          <w:tcPr>
            <w:tcW w:w="4606" w:type="dxa"/>
          </w:tcPr>
          <w:p w14:paraId="1A8974C3" w14:textId="77777777" w:rsidR="00510FD3" w:rsidRPr="00CC4610" w:rsidRDefault="00510FD3" w:rsidP="00203D0F">
            <w:pPr>
              <w:pStyle w:val="Heading3"/>
              <w:outlineLvl w:val="2"/>
              <w:rPr>
                <w:rFonts w:ascii="Arial" w:hAnsi="Arial" w:cs="Arial"/>
              </w:rPr>
            </w:pPr>
            <w:r w:rsidRPr="00CC4610">
              <w:rPr>
                <w:rFonts w:ascii="Arial" w:hAnsi="Arial" w:cs="Arial"/>
              </w:rPr>
              <w:t>Health and Safety in Employment Act 1992</w:t>
            </w:r>
          </w:p>
        </w:tc>
        <w:tc>
          <w:tcPr>
            <w:tcW w:w="4466" w:type="dxa"/>
          </w:tcPr>
          <w:p w14:paraId="26512227" w14:textId="77777777" w:rsidR="00510FD3" w:rsidRPr="00CC4610" w:rsidRDefault="00510FD3" w:rsidP="00203D0F">
            <w:pPr>
              <w:pStyle w:val="Heading3"/>
              <w:outlineLvl w:val="2"/>
              <w:rPr>
                <w:rFonts w:ascii="Arial" w:hAnsi="Arial" w:cs="Arial"/>
              </w:rPr>
            </w:pPr>
            <w:r w:rsidRPr="00CC4610">
              <w:rPr>
                <w:rFonts w:ascii="Arial" w:hAnsi="Arial" w:cs="Arial"/>
              </w:rPr>
              <w:t>Health and Safety Reform Bill</w:t>
            </w:r>
          </w:p>
        </w:tc>
      </w:tr>
      <w:tr w:rsidR="00510FD3" w14:paraId="5583BFBA" w14:textId="77777777" w:rsidTr="00615A2D">
        <w:tc>
          <w:tcPr>
            <w:tcW w:w="1986" w:type="dxa"/>
          </w:tcPr>
          <w:p w14:paraId="0B6B9B74"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Effective date</w:t>
            </w:r>
          </w:p>
        </w:tc>
        <w:tc>
          <w:tcPr>
            <w:tcW w:w="4606" w:type="dxa"/>
          </w:tcPr>
          <w:p w14:paraId="3A376571" w14:textId="77777777" w:rsidR="00510FD3" w:rsidRPr="00CC4610" w:rsidRDefault="00510FD3" w:rsidP="007413E5">
            <w:pPr>
              <w:rPr>
                <w:rFonts w:ascii="Arial" w:hAnsi="Arial" w:cs="Arial"/>
                <w:sz w:val="18"/>
                <w:szCs w:val="18"/>
              </w:rPr>
            </w:pPr>
            <w:r w:rsidRPr="00CC4610">
              <w:rPr>
                <w:rFonts w:ascii="Arial" w:hAnsi="Arial" w:cs="Arial"/>
                <w:sz w:val="18"/>
                <w:szCs w:val="18"/>
              </w:rPr>
              <w:t>1 April 1993</w:t>
            </w:r>
          </w:p>
        </w:tc>
        <w:tc>
          <w:tcPr>
            <w:tcW w:w="4466" w:type="dxa"/>
          </w:tcPr>
          <w:p w14:paraId="7A3B71A5" w14:textId="6AF5C100" w:rsidR="00510FD3" w:rsidRPr="00CC4610" w:rsidRDefault="00240B74" w:rsidP="00240B74">
            <w:pPr>
              <w:rPr>
                <w:rFonts w:ascii="Arial" w:hAnsi="Arial" w:cs="Arial"/>
                <w:sz w:val="18"/>
                <w:szCs w:val="18"/>
              </w:rPr>
            </w:pPr>
            <w:r w:rsidRPr="00CC4610">
              <w:rPr>
                <w:rFonts w:ascii="Arial" w:hAnsi="Arial" w:cs="Arial"/>
                <w:sz w:val="18"/>
                <w:szCs w:val="18"/>
              </w:rPr>
              <w:t xml:space="preserve">The </w:t>
            </w:r>
            <w:r w:rsidR="00F02965" w:rsidRPr="00CC4610">
              <w:rPr>
                <w:rFonts w:ascii="Arial" w:hAnsi="Arial" w:cs="Arial"/>
                <w:sz w:val="18"/>
                <w:szCs w:val="18"/>
              </w:rPr>
              <w:t>Select Committee r</w:t>
            </w:r>
            <w:r w:rsidR="005E43F6" w:rsidRPr="00CC4610">
              <w:rPr>
                <w:rFonts w:ascii="Arial" w:hAnsi="Arial" w:cs="Arial"/>
                <w:sz w:val="18"/>
                <w:szCs w:val="18"/>
              </w:rPr>
              <w:t xml:space="preserve">eported on the bill on 24 July and </w:t>
            </w:r>
            <w:r w:rsidRPr="00CC4610">
              <w:rPr>
                <w:rFonts w:ascii="Arial" w:hAnsi="Arial" w:cs="Arial"/>
                <w:sz w:val="18"/>
                <w:szCs w:val="18"/>
              </w:rPr>
              <w:t xml:space="preserve">the bill passed its </w:t>
            </w:r>
            <w:r w:rsidR="001F3F9E" w:rsidRPr="00CC4610">
              <w:rPr>
                <w:rFonts w:ascii="Arial" w:hAnsi="Arial" w:cs="Arial"/>
                <w:sz w:val="18"/>
                <w:szCs w:val="18"/>
              </w:rPr>
              <w:t>second reading on 30 July.</w:t>
            </w:r>
            <w:r w:rsidRPr="00CC4610">
              <w:rPr>
                <w:rFonts w:ascii="Arial" w:hAnsi="Arial" w:cs="Arial"/>
                <w:sz w:val="18"/>
                <w:szCs w:val="18"/>
              </w:rPr>
              <w:t xml:space="preserve"> </w:t>
            </w:r>
            <w:r w:rsidR="00D7498D" w:rsidRPr="00CC4610">
              <w:rPr>
                <w:rFonts w:ascii="Arial" w:hAnsi="Arial" w:cs="Arial"/>
                <w:sz w:val="18"/>
                <w:szCs w:val="18"/>
              </w:rPr>
              <w:t xml:space="preserve"> </w:t>
            </w:r>
            <w:r w:rsidRPr="00CC4610">
              <w:rPr>
                <w:rFonts w:ascii="Arial" w:hAnsi="Arial" w:cs="Arial"/>
                <w:sz w:val="18"/>
                <w:szCs w:val="18"/>
              </w:rPr>
              <w:t>The bill is l</w:t>
            </w:r>
            <w:r w:rsidR="00510FD3" w:rsidRPr="00CC4610">
              <w:rPr>
                <w:rFonts w:ascii="Arial" w:hAnsi="Arial" w:cs="Arial"/>
                <w:sz w:val="18"/>
                <w:szCs w:val="18"/>
              </w:rPr>
              <w:t>ikely to be implemented late 2015 – but no later than 1 July 2016.</w:t>
            </w:r>
          </w:p>
        </w:tc>
      </w:tr>
      <w:tr w:rsidR="00510FD3" w14:paraId="5EF8A575" w14:textId="77777777" w:rsidTr="00615A2D">
        <w:tc>
          <w:tcPr>
            <w:tcW w:w="1986" w:type="dxa"/>
          </w:tcPr>
          <w:p w14:paraId="3A5F14EB"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Application to volunteers</w:t>
            </w:r>
          </w:p>
        </w:tc>
        <w:tc>
          <w:tcPr>
            <w:tcW w:w="4606" w:type="dxa"/>
          </w:tcPr>
          <w:p w14:paraId="6CB246BF" w14:textId="77777777" w:rsidR="00510FD3" w:rsidRPr="00CC4610" w:rsidRDefault="00510FD3" w:rsidP="007413E5">
            <w:pPr>
              <w:rPr>
                <w:rFonts w:ascii="Arial" w:hAnsi="Arial" w:cs="Arial"/>
                <w:sz w:val="18"/>
                <w:szCs w:val="18"/>
              </w:rPr>
            </w:pPr>
            <w:r w:rsidRPr="00CC4610">
              <w:rPr>
                <w:rFonts w:ascii="Arial" w:hAnsi="Arial" w:cs="Arial"/>
                <w:sz w:val="18"/>
                <w:szCs w:val="18"/>
              </w:rPr>
              <w:t>Applies to volunteers doing work on an ongoing and regular basis and the work is an integral part of the business.</w:t>
            </w:r>
          </w:p>
          <w:p w14:paraId="54F67D73" w14:textId="4E4715B1" w:rsidR="00D1669C" w:rsidRPr="00CC4610" w:rsidRDefault="00510FD3">
            <w:pPr>
              <w:rPr>
                <w:rFonts w:ascii="Arial" w:hAnsi="Arial" w:cs="Arial"/>
                <w:sz w:val="18"/>
                <w:szCs w:val="18"/>
              </w:rPr>
            </w:pPr>
            <w:r w:rsidRPr="00CC4610">
              <w:rPr>
                <w:rFonts w:ascii="Arial" w:hAnsi="Arial" w:cs="Arial"/>
                <w:sz w:val="18"/>
                <w:szCs w:val="18"/>
                <w:u w:val="single"/>
              </w:rPr>
              <w:t>Does not apply to volunteers participating in a fund-raising activity, providing assistance with sports or recreation,</w:t>
            </w:r>
            <w:r w:rsidRPr="00CC4610">
              <w:rPr>
                <w:rFonts w:ascii="Arial" w:hAnsi="Arial" w:cs="Arial"/>
                <w:sz w:val="18"/>
                <w:szCs w:val="18"/>
              </w:rPr>
              <w:t xml:space="preserve"> providing assistance with activities for an educational institution, or providing care for another person in the volunteer’s home.</w:t>
            </w:r>
          </w:p>
        </w:tc>
        <w:tc>
          <w:tcPr>
            <w:tcW w:w="4466" w:type="dxa"/>
          </w:tcPr>
          <w:p w14:paraId="0F377E65" w14:textId="27CFECDD" w:rsidR="00510FD3" w:rsidRPr="00CC4610" w:rsidRDefault="00F02965" w:rsidP="00A90D3F">
            <w:pPr>
              <w:rPr>
                <w:rFonts w:ascii="Arial" w:hAnsi="Arial" w:cs="Arial"/>
                <w:sz w:val="18"/>
                <w:szCs w:val="18"/>
              </w:rPr>
            </w:pPr>
            <w:r w:rsidRPr="00CC4610">
              <w:rPr>
                <w:rFonts w:ascii="Arial" w:hAnsi="Arial" w:cs="Arial"/>
                <w:sz w:val="18"/>
                <w:szCs w:val="18"/>
              </w:rPr>
              <w:t>Similar intent to current legislation</w:t>
            </w:r>
            <w:r w:rsidR="00527B5E" w:rsidRPr="00CC4610">
              <w:rPr>
                <w:rFonts w:ascii="Arial" w:hAnsi="Arial" w:cs="Arial"/>
                <w:sz w:val="18"/>
                <w:szCs w:val="18"/>
              </w:rPr>
              <w:t xml:space="preserve">. </w:t>
            </w:r>
            <w:r w:rsidR="00D7498D" w:rsidRPr="00CC4610">
              <w:rPr>
                <w:rFonts w:ascii="Arial" w:hAnsi="Arial" w:cs="Arial"/>
                <w:sz w:val="18"/>
                <w:szCs w:val="18"/>
              </w:rPr>
              <w:t xml:space="preserve"> Refer to the WorkSafe NZ site for further information on the </w:t>
            </w:r>
            <w:hyperlink r:id="rId11" w:anchor="volunteer-workers" w:history="1">
              <w:r w:rsidR="00D7498D" w:rsidRPr="00CC4610">
                <w:rPr>
                  <w:rStyle w:val="Hyperlink"/>
                  <w:rFonts w:ascii="Arial" w:hAnsi="Arial" w:cs="Arial"/>
                  <w:sz w:val="18"/>
                  <w:szCs w:val="18"/>
                </w:rPr>
                <w:t>application to volunteers</w:t>
              </w:r>
            </w:hyperlink>
            <w:r w:rsidR="00D7498D" w:rsidRPr="00CC4610">
              <w:rPr>
                <w:rFonts w:ascii="Arial" w:hAnsi="Arial" w:cs="Arial"/>
                <w:sz w:val="18"/>
                <w:szCs w:val="18"/>
              </w:rPr>
              <w:t>.</w:t>
            </w:r>
          </w:p>
        </w:tc>
      </w:tr>
      <w:tr w:rsidR="00510FD3" w14:paraId="08E96C90" w14:textId="77777777" w:rsidTr="00615A2D">
        <w:tc>
          <w:tcPr>
            <w:tcW w:w="1986" w:type="dxa"/>
          </w:tcPr>
          <w:p w14:paraId="03F05F43"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Application to other workers</w:t>
            </w:r>
          </w:p>
        </w:tc>
        <w:tc>
          <w:tcPr>
            <w:tcW w:w="4606" w:type="dxa"/>
          </w:tcPr>
          <w:p w14:paraId="37833414" w14:textId="77777777" w:rsidR="00510FD3" w:rsidRPr="00CC4610" w:rsidRDefault="00510FD3" w:rsidP="007413E5">
            <w:pPr>
              <w:rPr>
                <w:rFonts w:ascii="Arial" w:hAnsi="Arial" w:cs="Arial"/>
                <w:sz w:val="18"/>
                <w:szCs w:val="18"/>
              </w:rPr>
            </w:pPr>
            <w:r w:rsidRPr="00CC4610">
              <w:rPr>
                <w:rFonts w:ascii="Arial" w:hAnsi="Arial" w:cs="Arial"/>
                <w:sz w:val="18"/>
                <w:szCs w:val="18"/>
              </w:rPr>
              <w:t>Applies to a person (not an employee) who is in a place of work for on-the-job training or work experience.  Also applies to loaned employees.</w:t>
            </w:r>
          </w:p>
        </w:tc>
        <w:tc>
          <w:tcPr>
            <w:tcW w:w="4466" w:type="dxa"/>
          </w:tcPr>
          <w:p w14:paraId="3F71B995" w14:textId="6B0B1554" w:rsidR="00110674" w:rsidRPr="001D3511" w:rsidRDefault="00E850B5" w:rsidP="00E850B5">
            <w:pPr>
              <w:rPr>
                <w:rFonts w:ascii="Arial" w:hAnsi="Arial" w:cs="Arial"/>
                <w:sz w:val="18"/>
                <w:szCs w:val="18"/>
              </w:rPr>
            </w:pPr>
            <w:r w:rsidRPr="00CC4610">
              <w:rPr>
                <w:rFonts w:ascii="Arial" w:hAnsi="Arial" w:cs="Arial"/>
                <w:sz w:val="18"/>
                <w:szCs w:val="18"/>
              </w:rPr>
              <w:t>The core obligations w</w:t>
            </w:r>
            <w:r w:rsidR="00510FD3" w:rsidRPr="00CC4610">
              <w:rPr>
                <w:rFonts w:ascii="Arial" w:hAnsi="Arial" w:cs="Arial"/>
                <w:sz w:val="18"/>
                <w:szCs w:val="18"/>
              </w:rPr>
              <w:t>ill apply to a wider range of ‘workers’ including volunteers</w:t>
            </w:r>
            <w:r w:rsidRPr="00CC4610">
              <w:rPr>
                <w:rFonts w:ascii="Arial" w:hAnsi="Arial" w:cs="Arial"/>
                <w:sz w:val="18"/>
                <w:szCs w:val="18"/>
              </w:rPr>
              <w:t xml:space="preserve">, contractors and subcontractors </w:t>
            </w:r>
            <w:r w:rsidR="0046510B" w:rsidRPr="00CC4610">
              <w:rPr>
                <w:rFonts w:ascii="Arial" w:hAnsi="Arial" w:cs="Arial"/>
                <w:sz w:val="18"/>
                <w:szCs w:val="18"/>
              </w:rPr>
              <w:t xml:space="preserve">and their employees, trainees </w:t>
            </w:r>
            <w:r w:rsidR="000E2CF9" w:rsidRPr="00CC4610">
              <w:rPr>
                <w:rFonts w:ascii="Arial" w:hAnsi="Arial" w:cs="Arial"/>
                <w:sz w:val="18"/>
                <w:szCs w:val="18"/>
              </w:rPr>
              <w:t xml:space="preserve">and </w:t>
            </w:r>
            <w:r w:rsidR="00240B74" w:rsidRPr="00CC4610">
              <w:rPr>
                <w:rFonts w:ascii="Arial" w:hAnsi="Arial" w:cs="Arial"/>
                <w:sz w:val="18"/>
                <w:szCs w:val="18"/>
              </w:rPr>
              <w:t>individuals</w:t>
            </w:r>
            <w:r w:rsidR="00D7498D" w:rsidRPr="00CC4610">
              <w:rPr>
                <w:rFonts w:ascii="Arial" w:hAnsi="Arial" w:cs="Arial"/>
                <w:sz w:val="18"/>
                <w:szCs w:val="18"/>
              </w:rPr>
              <w:t xml:space="preserve"> gaining work experience.</w:t>
            </w:r>
          </w:p>
        </w:tc>
      </w:tr>
      <w:tr w:rsidR="00510FD3" w14:paraId="620542CA" w14:textId="77777777" w:rsidTr="00615A2D">
        <w:tc>
          <w:tcPr>
            <w:tcW w:w="1986" w:type="dxa"/>
          </w:tcPr>
          <w:p w14:paraId="7DF68535" w14:textId="23D58C36" w:rsidR="0046234E" w:rsidRPr="001D3511" w:rsidRDefault="00510FD3">
            <w:pPr>
              <w:pStyle w:val="Subtitle"/>
              <w:rPr>
                <w:rFonts w:ascii="Arial" w:hAnsi="Arial" w:cs="Arial"/>
                <w:sz w:val="20"/>
                <w:szCs w:val="20"/>
                <w:highlight w:val="magenta"/>
              </w:rPr>
            </w:pPr>
            <w:r w:rsidRPr="00CC4610">
              <w:rPr>
                <w:rFonts w:ascii="Arial" w:hAnsi="Arial" w:cs="Arial"/>
                <w:sz w:val="20"/>
                <w:szCs w:val="20"/>
              </w:rPr>
              <w:t>General duties of employers</w:t>
            </w:r>
          </w:p>
        </w:tc>
        <w:tc>
          <w:tcPr>
            <w:tcW w:w="4606" w:type="dxa"/>
          </w:tcPr>
          <w:p w14:paraId="75614B98" w14:textId="0531D989" w:rsidR="00510FD3" w:rsidRPr="00CC4610" w:rsidRDefault="0046234E" w:rsidP="007413E5">
            <w:pPr>
              <w:rPr>
                <w:rFonts w:ascii="Arial" w:hAnsi="Arial" w:cs="Arial"/>
                <w:sz w:val="18"/>
                <w:szCs w:val="18"/>
              </w:rPr>
            </w:pPr>
            <w:r w:rsidRPr="00CC4610">
              <w:rPr>
                <w:rFonts w:ascii="Arial" w:hAnsi="Arial" w:cs="Arial"/>
                <w:sz w:val="18"/>
                <w:szCs w:val="18"/>
              </w:rPr>
              <w:t>Employers must t</w:t>
            </w:r>
            <w:r w:rsidR="00510FD3" w:rsidRPr="00CC4610">
              <w:rPr>
                <w:rFonts w:ascii="Arial" w:hAnsi="Arial" w:cs="Arial"/>
                <w:sz w:val="18"/>
                <w:szCs w:val="18"/>
              </w:rPr>
              <w:t>ake all practicable steps to ensure the safety of employees while at work.</w:t>
            </w:r>
          </w:p>
        </w:tc>
        <w:tc>
          <w:tcPr>
            <w:tcW w:w="4466" w:type="dxa"/>
          </w:tcPr>
          <w:p w14:paraId="04169276" w14:textId="2F866570" w:rsidR="007E39D1" w:rsidRDefault="00110674" w:rsidP="008D2B6A">
            <w:pPr>
              <w:rPr>
                <w:rFonts w:ascii="Arial" w:hAnsi="Arial" w:cs="Arial"/>
                <w:sz w:val="18"/>
                <w:szCs w:val="18"/>
              </w:rPr>
            </w:pPr>
            <w:r w:rsidRPr="00CC4610">
              <w:rPr>
                <w:rFonts w:ascii="Arial" w:hAnsi="Arial" w:cs="Arial"/>
                <w:sz w:val="18"/>
                <w:szCs w:val="18"/>
              </w:rPr>
              <w:t xml:space="preserve">A person in control of a business or undertaking (PCBU) </w:t>
            </w:r>
            <w:r w:rsidR="0046234E" w:rsidRPr="00CC4610">
              <w:rPr>
                <w:rFonts w:ascii="Arial" w:hAnsi="Arial" w:cs="Arial"/>
                <w:sz w:val="18"/>
                <w:szCs w:val="18"/>
              </w:rPr>
              <w:t>must ensure</w:t>
            </w:r>
            <w:r w:rsidR="0046510B" w:rsidRPr="00CC4610">
              <w:rPr>
                <w:rFonts w:ascii="Arial" w:hAnsi="Arial" w:cs="Arial"/>
                <w:sz w:val="18"/>
                <w:szCs w:val="18"/>
              </w:rPr>
              <w:t>, as far as reasonably practicable,</w:t>
            </w:r>
            <w:r w:rsidR="0046234E" w:rsidRPr="00CC4610">
              <w:rPr>
                <w:rFonts w:ascii="Arial" w:hAnsi="Arial" w:cs="Arial"/>
                <w:sz w:val="18"/>
                <w:szCs w:val="18"/>
              </w:rPr>
              <w:t xml:space="preserve"> the health and safety of </w:t>
            </w:r>
            <w:r w:rsidR="00E850B5" w:rsidRPr="00CC4610">
              <w:rPr>
                <w:rFonts w:ascii="Arial" w:hAnsi="Arial" w:cs="Arial"/>
                <w:sz w:val="18"/>
                <w:szCs w:val="18"/>
              </w:rPr>
              <w:t xml:space="preserve">its </w:t>
            </w:r>
            <w:r w:rsidR="0046234E" w:rsidRPr="00CC4610">
              <w:rPr>
                <w:rFonts w:ascii="Arial" w:hAnsi="Arial" w:cs="Arial"/>
                <w:sz w:val="18"/>
                <w:szCs w:val="18"/>
              </w:rPr>
              <w:t>workers</w:t>
            </w:r>
            <w:r w:rsidR="0046510B" w:rsidRPr="00CC4610">
              <w:rPr>
                <w:rFonts w:ascii="Arial" w:hAnsi="Arial" w:cs="Arial"/>
                <w:sz w:val="18"/>
                <w:szCs w:val="18"/>
              </w:rPr>
              <w:t xml:space="preserve"> and others whos</w:t>
            </w:r>
            <w:r w:rsidR="00240B74" w:rsidRPr="00CC4610">
              <w:rPr>
                <w:rFonts w:ascii="Arial" w:hAnsi="Arial" w:cs="Arial"/>
                <w:sz w:val="18"/>
                <w:szCs w:val="18"/>
              </w:rPr>
              <w:t>e work it</w:t>
            </w:r>
            <w:r w:rsidR="0046510B" w:rsidRPr="00CC4610">
              <w:rPr>
                <w:rFonts w:ascii="Arial" w:hAnsi="Arial" w:cs="Arial"/>
                <w:sz w:val="18"/>
                <w:szCs w:val="18"/>
              </w:rPr>
              <w:t xml:space="preserve"> </w:t>
            </w:r>
            <w:r w:rsidR="00E850B5" w:rsidRPr="00CC4610">
              <w:rPr>
                <w:rFonts w:ascii="Arial" w:hAnsi="Arial" w:cs="Arial"/>
                <w:sz w:val="18"/>
                <w:szCs w:val="18"/>
              </w:rPr>
              <w:t xml:space="preserve">directs or </w:t>
            </w:r>
            <w:r w:rsidR="0046510B" w:rsidRPr="00CC4610">
              <w:rPr>
                <w:rFonts w:ascii="Arial" w:hAnsi="Arial" w:cs="Arial"/>
                <w:sz w:val="18"/>
                <w:szCs w:val="18"/>
              </w:rPr>
              <w:t>influences</w:t>
            </w:r>
            <w:r w:rsidR="007E39D1">
              <w:rPr>
                <w:rFonts w:ascii="Arial" w:hAnsi="Arial" w:cs="Arial"/>
                <w:sz w:val="18"/>
                <w:szCs w:val="18"/>
              </w:rPr>
              <w:t xml:space="preserve">, or </w:t>
            </w:r>
            <w:r w:rsidR="00F25D18" w:rsidRPr="00CC4610">
              <w:rPr>
                <w:rFonts w:ascii="Arial" w:hAnsi="Arial" w:cs="Arial"/>
                <w:sz w:val="18"/>
                <w:szCs w:val="18"/>
              </w:rPr>
              <w:t>that oth</w:t>
            </w:r>
            <w:r w:rsidR="00D7498D" w:rsidRPr="00CC4610">
              <w:rPr>
                <w:rFonts w:ascii="Arial" w:hAnsi="Arial" w:cs="Arial"/>
                <w:sz w:val="18"/>
                <w:szCs w:val="18"/>
              </w:rPr>
              <w:t>er persons are not put at risk.</w:t>
            </w:r>
          </w:p>
          <w:p w14:paraId="6063717A" w14:textId="6CEC09DA" w:rsidR="00110674" w:rsidRPr="00CC4610" w:rsidRDefault="007E39D1" w:rsidP="007E39D1">
            <w:pPr>
              <w:rPr>
                <w:rFonts w:ascii="Arial" w:hAnsi="Arial" w:cs="Arial"/>
                <w:sz w:val="18"/>
                <w:szCs w:val="18"/>
              </w:rPr>
            </w:pPr>
            <w:r w:rsidRPr="007E39D1">
              <w:rPr>
                <w:rFonts w:ascii="Arial" w:hAnsi="Arial" w:cs="Arial"/>
                <w:sz w:val="18"/>
                <w:szCs w:val="18"/>
              </w:rPr>
              <w:t>An officer of a PCBU must exercise due diligence to ensure the PCBU complies with its duties and obligations.  Officers include directors, partners, chief executives and other people who have 'significant influence' over the mana</w:t>
            </w:r>
            <w:r>
              <w:rPr>
                <w:rFonts w:ascii="Arial" w:hAnsi="Arial" w:cs="Arial"/>
                <w:sz w:val="18"/>
                <w:szCs w:val="18"/>
              </w:rPr>
              <w:t>gement of the organisation.</w:t>
            </w:r>
          </w:p>
        </w:tc>
      </w:tr>
      <w:tr w:rsidR="00510FD3" w14:paraId="09C535AF" w14:textId="77777777" w:rsidTr="00615A2D">
        <w:tc>
          <w:tcPr>
            <w:tcW w:w="1986" w:type="dxa"/>
          </w:tcPr>
          <w:p w14:paraId="7EE027AE" w14:textId="48352F41" w:rsidR="00510FD3" w:rsidRPr="00CC4610" w:rsidRDefault="00510FD3" w:rsidP="00203D0F">
            <w:pPr>
              <w:pStyle w:val="Subtitle"/>
              <w:rPr>
                <w:rFonts w:ascii="Arial" w:hAnsi="Arial" w:cs="Arial"/>
                <w:sz w:val="20"/>
                <w:szCs w:val="20"/>
              </w:rPr>
            </w:pPr>
            <w:r w:rsidRPr="00CC4610">
              <w:rPr>
                <w:rFonts w:ascii="Arial" w:hAnsi="Arial" w:cs="Arial"/>
                <w:sz w:val="20"/>
                <w:szCs w:val="20"/>
              </w:rPr>
              <w:t>Hazard management</w:t>
            </w:r>
          </w:p>
        </w:tc>
        <w:tc>
          <w:tcPr>
            <w:tcW w:w="4606" w:type="dxa"/>
          </w:tcPr>
          <w:p w14:paraId="785F386A" w14:textId="77777777" w:rsidR="00510FD3" w:rsidRPr="00CC4610" w:rsidRDefault="00510FD3" w:rsidP="007413E5">
            <w:pPr>
              <w:rPr>
                <w:rFonts w:ascii="Arial" w:hAnsi="Arial" w:cs="Arial"/>
                <w:sz w:val="18"/>
                <w:szCs w:val="18"/>
              </w:rPr>
            </w:pPr>
            <w:r w:rsidRPr="00CC4610">
              <w:rPr>
                <w:rFonts w:ascii="Arial" w:hAnsi="Arial" w:cs="Arial"/>
                <w:sz w:val="18"/>
                <w:szCs w:val="18"/>
              </w:rPr>
              <w:t>Employers to ensure that there are effective methods to identify, assess, control and investigate hazards.</w:t>
            </w:r>
          </w:p>
        </w:tc>
        <w:tc>
          <w:tcPr>
            <w:tcW w:w="4466" w:type="dxa"/>
          </w:tcPr>
          <w:p w14:paraId="689A7D49" w14:textId="3098837C" w:rsidR="0069437E" w:rsidRPr="00CC4610" w:rsidRDefault="008E225D" w:rsidP="00D7498D">
            <w:pPr>
              <w:rPr>
                <w:rFonts w:ascii="Arial" w:hAnsi="Arial" w:cs="Arial"/>
                <w:sz w:val="18"/>
                <w:szCs w:val="18"/>
              </w:rPr>
            </w:pPr>
            <w:r w:rsidRPr="00CC4610">
              <w:rPr>
                <w:rFonts w:ascii="Arial" w:hAnsi="Arial" w:cs="Arial"/>
                <w:sz w:val="18"/>
                <w:szCs w:val="18"/>
              </w:rPr>
              <w:t>Similar intent to current legislation.</w:t>
            </w:r>
            <w:r w:rsidR="00D7498D" w:rsidRPr="00CC4610">
              <w:rPr>
                <w:rFonts w:ascii="Arial" w:hAnsi="Arial" w:cs="Arial"/>
                <w:sz w:val="18"/>
                <w:szCs w:val="18"/>
              </w:rPr>
              <w:t xml:space="preserve">  </w:t>
            </w:r>
            <w:r w:rsidR="00CC2B55" w:rsidRPr="00CC4610">
              <w:rPr>
                <w:rFonts w:ascii="Arial" w:hAnsi="Arial" w:cs="Arial"/>
                <w:sz w:val="18"/>
                <w:szCs w:val="18"/>
              </w:rPr>
              <w:t>O</w:t>
            </w:r>
            <w:r w:rsidR="00FD30A4" w:rsidRPr="00CC4610">
              <w:rPr>
                <w:rFonts w:ascii="Arial" w:hAnsi="Arial" w:cs="Arial"/>
                <w:sz w:val="18"/>
                <w:szCs w:val="18"/>
              </w:rPr>
              <w:t>fficer</w:t>
            </w:r>
            <w:r w:rsidR="00CC2B55" w:rsidRPr="00CC4610">
              <w:rPr>
                <w:rFonts w:ascii="Arial" w:hAnsi="Arial" w:cs="Arial"/>
                <w:sz w:val="18"/>
                <w:szCs w:val="18"/>
              </w:rPr>
              <w:t>s</w:t>
            </w:r>
            <w:r w:rsidR="009E0CFC" w:rsidRPr="00CC4610">
              <w:rPr>
                <w:rFonts w:ascii="Arial" w:hAnsi="Arial" w:cs="Arial"/>
                <w:sz w:val="18"/>
                <w:szCs w:val="18"/>
              </w:rPr>
              <w:t xml:space="preserve"> </w:t>
            </w:r>
            <w:r w:rsidR="001E7E2F" w:rsidRPr="00CC4610">
              <w:rPr>
                <w:rFonts w:ascii="Arial" w:hAnsi="Arial" w:cs="Arial"/>
                <w:sz w:val="18"/>
                <w:szCs w:val="18"/>
              </w:rPr>
              <w:t xml:space="preserve">must </w:t>
            </w:r>
            <w:r w:rsidR="00E850B5" w:rsidRPr="00CC4610">
              <w:rPr>
                <w:rFonts w:ascii="Arial" w:hAnsi="Arial" w:cs="Arial"/>
                <w:sz w:val="18"/>
                <w:szCs w:val="18"/>
              </w:rPr>
              <w:t xml:space="preserve">also </w:t>
            </w:r>
            <w:r w:rsidR="001E7E2F" w:rsidRPr="00CC4610">
              <w:rPr>
                <w:rFonts w:ascii="Arial" w:hAnsi="Arial" w:cs="Arial"/>
                <w:sz w:val="18"/>
                <w:szCs w:val="18"/>
              </w:rPr>
              <w:t xml:space="preserve">understand </w:t>
            </w:r>
            <w:r w:rsidR="00BA585C" w:rsidRPr="00CC4610">
              <w:rPr>
                <w:rFonts w:ascii="Arial" w:hAnsi="Arial" w:cs="Arial"/>
                <w:sz w:val="18"/>
                <w:szCs w:val="18"/>
              </w:rPr>
              <w:t>what</w:t>
            </w:r>
            <w:r w:rsidR="001E7E2F" w:rsidRPr="00CC4610">
              <w:rPr>
                <w:rFonts w:ascii="Arial" w:hAnsi="Arial" w:cs="Arial"/>
                <w:sz w:val="18"/>
                <w:szCs w:val="18"/>
              </w:rPr>
              <w:t xml:space="preserve"> hazards</w:t>
            </w:r>
            <w:r w:rsidR="002103C4" w:rsidRPr="00CC4610">
              <w:rPr>
                <w:rFonts w:ascii="Arial" w:hAnsi="Arial" w:cs="Arial"/>
                <w:sz w:val="18"/>
                <w:szCs w:val="18"/>
              </w:rPr>
              <w:t xml:space="preserve"> </w:t>
            </w:r>
            <w:r w:rsidR="00BA585C" w:rsidRPr="00CC4610">
              <w:rPr>
                <w:rFonts w:ascii="Arial" w:hAnsi="Arial" w:cs="Arial"/>
                <w:sz w:val="18"/>
                <w:szCs w:val="18"/>
              </w:rPr>
              <w:t xml:space="preserve">there are and the </w:t>
            </w:r>
            <w:r w:rsidR="001E7E2F" w:rsidRPr="00CC4610">
              <w:rPr>
                <w:rFonts w:ascii="Arial" w:hAnsi="Arial" w:cs="Arial"/>
                <w:sz w:val="18"/>
                <w:szCs w:val="18"/>
              </w:rPr>
              <w:t xml:space="preserve">processes for </w:t>
            </w:r>
            <w:r w:rsidR="009E0CFC" w:rsidRPr="00CC4610">
              <w:rPr>
                <w:rFonts w:ascii="Arial" w:hAnsi="Arial" w:cs="Arial"/>
                <w:sz w:val="18"/>
                <w:szCs w:val="18"/>
              </w:rPr>
              <w:t xml:space="preserve">dealing with </w:t>
            </w:r>
            <w:r w:rsidR="00BA585C" w:rsidRPr="00CC4610">
              <w:rPr>
                <w:rFonts w:ascii="Arial" w:hAnsi="Arial" w:cs="Arial"/>
                <w:sz w:val="18"/>
                <w:szCs w:val="18"/>
              </w:rPr>
              <w:t>them</w:t>
            </w:r>
            <w:r w:rsidR="001E7E2F" w:rsidRPr="00CC4610">
              <w:rPr>
                <w:rFonts w:ascii="Arial" w:hAnsi="Arial" w:cs="Arial"/>
                <w:sz w:val="18"/>
                <w:szCs w:val="18"/>
              </w:rPr>
              <w:t>.</w:t>
            </w:r>
            <w:r w:rsidR="0069437E" w:rsidRPr="00CC4610">
              <w:rPr>
                <w:rFonts w:ascii="Arial" w:hAnsi="Arial" w:cs="Arial"/>
                <w:sz w:val="18"/>
                <w:szCs w:val="18"/>
              </w:rPr>
              <w:t xml:space="preserve"> </w:t>
            </w:r>
          </w:p>
        </w:tc>
      </w:tr>
      <w:tr w:rsidR="00510FD3" w14:paraId="401F1118" w14:textId="77777777" w:rsidTr="00615A2D">
        <w:tc>
          <w:tcPr>
            <w:tcW w:w="1986" w:type="dxa"/>
          </w:tcPr>
          <w:p w14:paraId="6DA93E15"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Information, training &amp; supervision</w:t>
            </w:r>
          </w:p>
        </w:tc>
        <w:tc>
          <w:tcPr>
            <w:tcW w:w="4606" w:type="dxa"/>
          </w:tcPr>
          <w:p w14:paraId="10BF9EB9" w14:textId="77777777" w:rsidR="00510FD3" w:rsidRPr="00CC4610" w:rsidRDefault="00510FD3" w:rsidP="007413E5">
            <w:pPr>
              <w:rPr>
                <w:rFonts w:ascii="Arial" w:hAnsi="Arial" w:cs="Arial"/>
                <w:sz w:val="18"/>
                <w:szCs w:val="18"/>
              </w:rPr>
            </w:pPr>
            <w:r w:rsidRPr="00CC4610">
              <w:rPr>
                <w:rFonts w:ascii="Arial" w:hAnsi="Arial" w:cs="Arial"/>
                <w:sz w:val="18"/>
                <w:szCs w:val="18"/>
              </w:rPr>
              <w:t>Employers to provide the results of health monitoring to employees where a hazard cannot be eliminated, and provide them with training and supervision in the hazards, safe work practices, and protective clothing and equipment.</w:t>
            </w:r>
          </w:p>
        </w:tc>
        <w:tc>
          <w:tcPr>
            <w:tcW w:w="4466" w:type="dxa"/>
          </w:tcPr>
          <w:p w14:paraId="438E2B47" w14:textId="41FBACA4" w:rsidR="00FD30A4" w:rsidRPr="00CC4610" w:rsidRDefault="008E225D" w:rsidP="00D7498D">
            <w:pPr>
              <w:rPr>
                <w:rFonts w:ascii="Arial" w:hAnsi="Arial" w:cs="Arial"/>
                <w:sz w:val="18"/>
                <w:szCs w:val="18"/>
              </w:rPr>
            </w:pPr>
            <w:r w:rsidRPr="00CC4610">
              <w:rPr>
                <w:rFonts w:ascii="Arial" w:hAnsi="Arial" w:cs="Arial"/>
                <w:sz w:val="18"/>
                <w:szCs w:val="18"/>
              </w:rPr>
              <w:t>Similar intent to current legislation.</w:t>
            </w:r>
          </w:p>
        </w:tc>
      </w:tr>
      <w:tr w:rsidR="00510FD3" w14:paraId="16BE6523" w14:textId="77777777" w:rsidTr="00615A2D">
        <w:tc>
          <w:tcPr>
            <w:tcW w:w="1986" w:type="dxa"/>
          </w:tcPr>
          <w:p w14:paraId="02DF9872" w14:textId="2B52593F" w:rsidR="00510FD3" w:rsidRPr="00CC4610" w:rsidRDefault="00510FD3">
            <w:pPr>
              <w:pStyle w:val="Subtitle"/>
              <w:rPr>
                <w:rFonts w:ascii="Arial" w:hAnsi="Arial" w:cs="Arial"/>
                <w:sz w:val="20"/>
                <w:szCs w:val="20"/>
              </w:rPr>
            </w:pPr>
            <w:r w:rsidRPr="00CC4610">
              <w:rPr>
                <w:rFonts w:ascii="Arial" w:hAnsi="Arial" w:cs="Arial"/>
                <w:sz w:val="20"/>
                <w:szCs w:val="20"/>
              </w:rPr>
              <w:t>Non-employees</w:t>
            </w:r>
          </w:p>
        </w:tc>
        <w:tc>
          <w:tcPr>
            <w:tcW w:w="4606" w:type="dxa"/>
          </w:tcPr>
          <w:p w14:paraId="56E7EEE8" w14:textId="77777777" w:rsidR="00510FD3" w:rsidRPr="00CC4610" w:rsidRDefault="00510FD3" w:rsidP="007413E5">
            <w:pPr>
              <w:rPr>
                <w:rFonts w:ascii="Arial" w:hAnsi="Arial" w:cs="Arial"/>
                <w:sz w:val="18"/>
                <w:szCs w:val="18"/>
              </w:rPr>
            </w:pPr>
            <w:r w:rsidRPr="00CC4610">
              <w:rPr>
                <w:rFonts w:ascii="Arial" w:hAnsi="Arial" w:cs="Arial"/>
                <w:sz w:val="18"/>
                <w:szCs w:val="18"/>
              </w:rPr>
              <w:t>Employers shall take all practicable steps to ensure that no action or inaction of any employee while at work harms any other person.</w:t>
            </w:r>
          </w:p>
        </w:tc>
        <w:tc>
          <w:tcPr>
            <w:tcW w:w="4466" w:type="dxa"/>
          </w:tcPr>
          <w:p w14:paraId="1AC51B8B" w14:textId="485D9BC8" w:rsidR="00510FD3" w:rsidRPr="00CC4610" w:rsidRDefault="008E225D" w:rsidP="00D7498D">
            <w:pPr>
              <w:rPr>
                <w:rFonts w:ascii="Arial" w:hAnsi="Arial" w:cs="Arial"/>
                <w:sz w:val="18"/>
                <w:szCs w:val="18"/>
              </w:rPr>
            </w:pPr>
            <w:r w:rsidRPr="00CC4610">
              <w:rPr>
                <w:rFonts w:ascii="Arial" w:hAnsi="Arial" w:cs="Arial"/>
                <w:sz w:val="18"/>
                <w:szCs w:val="18"/>
              </w:rPr>
              <w:t>Similar intent to current legislation</w:t>
            </w:r>
            <w:r w:rsidR="00BA585C" w:rsidRPr="00CC4610">
              <w:rPr>
                <w:rFonts w:ascii="Arial" w:hAnsi="Arial" w:cs="Arial"/>
                <w:sz w:val="18"/>
                <w:szCs w:val="18"/>
              </w:rPr>
              <w:t>, but applies to all workers</w:t>
            </w:r>
            <w:r w:rsidRPr="00CC4610">
              <w:rPr>
                <w:rFonts w:ascii="Arial" w:hAnsi="Arial" w:cs="Arial"/>
                <w:sz w:val="18"/>
                <w:szCs w:val="18"/>
              </w:rPr>
              <w:t>.</w:t>
            </w:r>
          </w:p>
        </w:tc>
      </w:tr>
      <w:tr w:rsidR="00510FD3" w14:paraId="7D2EBAD7" w14:textId="77777777" w:rsidTr="00615A2D">
        <w:tc>
          <w:tcPr>
            <w:tcW w:w="1986" w:type="dxa"/>
          </w:tcPr>
          <w:p w14:paraId="213AA7B0"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People who control places of work</w:t>
            </w:r>
          </w:p>
        </w:tc>
        <w:tc>
          <w:tcPr>
            <w:tcW w:w="4606" w:type="dxa"/>
          </w:tcPr>
          <w:p w14:paraId="623FD8B6" w14:textId="77777777" w:rsidR="00510FD3" w:rsidRPr="00CC4610" w:rsidRDefault="00510FD3" w:rsidP="007413E5">
            <w:pPr>
              <w:rPr>
                <w:rFonts w:ascii="Arial" w:hAnsi="Arial" w:cs="Arial"/>
                <w:sz w:val="18"/>
                <w:szCs w:val="18"/>
              </w:rPr>
            </w:pPr>
            <w:r w:rsidRPr="00CC4610">
              <w:rPr>
                <w:rFonts w:ascii="Arial" w:hAnsi="Arial" w:cs="Arial"/>
                <w:sz w:val="18"/>
                <w:szCs w:val="18"/>
              </w:rPr>
              <w:t xml:space="preserve">Take all practicable steps to ensure that people in the vicinity of the place of work are not harmed by any hazard.  </w:t>
            </w:r>
            <w:r w:rsidRPr="00CC4610">
              <w:rPr>
                <w:rFonts w:ascii="Arial" w:hAnsi="Arial" w:cs="Arial"/>
                <w:sz w:val="18"/>
                <w:szCs w:val="18"/>
                <w:u w:val="single"/>
              </w:rPr>
              <w:t>Includes people who are in the vicinity of the place solely for the purpose of recreation or leisure.  Also includes employees, contractors, sub-contractors, and</w:t>
            </w:r>
            <w:r w:rsidRPr="00CC4610">
              <w:rPr>
                <w:rFonts w:ascii="Arial" w:hAnsi="Arial" w:cs="Arial"/>
                <w:sz w:val="18"/>
                <w:szCs w:val="18"/>
              </w:rPr>
              <w:t xml:space="preserve"> </w:t>
            </w:r>
            <w:r w:rsidRPr="00CC4610">
              <w:rPr>
                <w:rFonts w:ascii="Arial" w:hAnsi="Arial" w:cs="Arial"/>
                <w:sz w:val="18"/>
                <w:szCs w:val="18"/>
                <w:u w:val="single"/>
              </w:rPr>
              <w:t>people who have paid to be there or to undertake an activity there</w:t>
            </w:r>
            <w:r w:rsidRPr="00CC4610">
              <w:rPr>
                <w:rFonts w:ascii="Arial" w:hAnsi="Arial" w:cs="Arial"/>
                <w:sz w:val="18"/>
                <w:szCs w:val="18"/>
              </w:rPr>
              <w:t>.</w:t>
            </w:r>
          </w:p>
        </w:tc>
        <w:tc>
          <w:tcPr>
            <w:tcW w:w="4466" w:type="dxa"/>
          </w:tcPr>
          <w:p w14:paraId="5F167FB9" w14:textId="48A00A29" w:rsidR="0069437E" w:rsidRPr="00CC4610" w:rsidRDefault="009E0CFC" w:rsidP="00D7498D">
            <w:pPr>
              <w:rPr>
                <w:rFonts w:ascii="Arial" w:hAnsi="Arial" w:cs="Arial"/>
                <w:sz w:val="18"/>
                <w:szCs w:val="18"/>
              </w:rPr>
            </w:pPr>
            <w:r w:rsidRPr="00CC4610">
              <w:rPr>
                <w:rFonts w:ascii="Arial" w:hAnsi="Arial" w:cs="Arial"/>
                <w:sz w:val="18"/>
                <w:szCs w:val="18"/>
              </w:rPr>
              <w:t xml:space="preserve">Ensure that the workplace does </w:t>
            </w:r>
            <w:r w:rsidR="000156ED" w:rsidRPr="00CC4610">
              <w:rPr>
                <w:rFonts w:ascii="Arial" w:hAnsi="Arial" w:cs="Arial"/>
                <w:sz w:val="18"/>
                <w:szCs w:val="18"/>
              </w:rPr>
              <w:t>not</w:t>
            </w:r>
            <w:r w:rsidR="0069437E" w:rsidRPr="00CC4610">
              <w:rPr>
                <w:rFonts w:ascii="Arial" w:hAnsi="Arial" w:cs="Arial"/>
                <w:sz w:val="18"/>
                <w:szCs w:val="18"/>
              </w:rPr>
              <w:t xml:space="preserve"> present risks to the health and safety of anyone legally present at the workplace.</w:t>
            </w:r>
          </w:p>
        </w:tc>
      </w:tr>
      <w:tr w:rsidR="00510FD3" w14:paraId="0AF86DE5" w14:textId="77777777" w:rsidTr="00615A2D">
        <w:tc>
          <w:tcPr>
            <w:tcW w:w="1986" w:type="dxa"/>
          </w:tcPr>
          <w:p w14:paraId="04C2B3C2"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Self-employed people</w:t>
            </w:r>
          </w:p>
        </w:tc>
        <w:tc>
          <w:tcPr>
            <w:tcW w:w="4606" w:type="dxa"/>
          </w:tcPr>
          <w:p w14:paraId="3C76D173" w14:textId="77777777" w:rsidR="00510FD3" w:rsidRPr="00CC4610" w:rsidRDefault="00510FD3" w:rsidP="007413E5">
            <w:pPr>
              <w:rPr>
                <w:rFonts w:ascii="Arial" w:hAnsi="Arial" w:cs="Arial"/>
                <w:sz w:val="18"/>
                <w:szCs w:val="18"/>
              </w:rPr>
            </w:pPr>
            <w:r w:rsidRPr="00CC4610">
              <w:rPr>
                <w:rFonts w:ascii="Arial" w:hAnsi="Arial" w:cs="Arial"/>
                <w:sz w:val="18"/>
                <w:szCs w:val="18"/>
              </w:rPr>
              <w:t>Take all practicable steps to ensure that no action or inaction of theirs while at work harms themselves or any other person.</w:t>
            </w:r>
          </w:p>
        </w:tc>
        <w:tc>
          <w:tcPr>
            <w:tcW w:w="4466" w:type="dxa"/>
          </w:tcPr>
          <w:p w14:paraId="354DF68E"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5D973536" w14:textId="77777777" w:rsidTr="00615A2D">
        <w:tc>
          <w:tcPr>
            <w:tcW w:w="1986" w:type="dxa"/>
          </w:tcPr>
          <w:p w14:paraId="779CA887"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Principals</w:t>
            </w:r>
          </w:p>
        </w:tc>
        <w:tc>
          <w:tcPr>
            <w:tcW w:w="4606" w:type="dxa"/>
          </w:tcPr>
          <w:p w14:paraId="4FFA480A" w14:textId="77777777" w:rsidR="00510FD3" w:rsidRPr="00CC4610" w:rsidRDefault="00510FD3" w:rsidP="007413E5">
            <w:pPr>
              <w:rPr>
                <w:rFonts w:ascii="Arial" w:hAnsi="Arial" w:cs="Arial"/>
                <w:sz w:val="18"/>
                <w:szCs w:val="18"/>
              </w:rPr>
            </w:pPr>
            <w:r w:rsidRPr="00CC4610">
              <w:rPr>
                <w:rFonts w:ascii="Arial" w:hAnsi="Arial" w:cs="Arial"/>
                <w:sz w:val="18"/>
                <w:szCs w:val="18"/>
              </w:rPr>
              <w:t>Take all practicable steps to ensure that no employee of a contractor or sub-contractor is harmed while doing any work.</w:t>
            </w:r>
          </w:p>
        </w:tc>
        <w:tc>
          <w:tcPr>
            <w:tcW w:w="4466" w:type="dxa"/>
          </w:tcPr>
          <w:p w14:paraId="4FAA915B" w14:textId="08DF9325" w:rsidR="00510FD3" w:rsidRPr="00CC4610" w:rsidRDefault="000156ED" w:rsidP="00BA585C">
            <w:pPr>
              <w:rPr>
                <w:rFonts w:ascii="Arial" w:hAnsi="Arial" w:cs="Arial"/>
                <w:sz w:val="18"/>
                <w:szCs w:val="18"/>
              </w:rPr>
            </w:pPr>
            <w:r w:rsidRPr="00CC4610">
              <w:rPr>
                <w:rFonts w:ascii="Arial" w:hAnsi="Arial" w:cs="Arial"/>
                <w:sz w:val="18"/>
                <w:szCs w:val="18"/>
              </w:rPr>
              <w:t>A PCBU has a duty to ensure the health and safety of all</w:t>
            </w:r>
            <w:r w:rsidR="004C2BD9" w:rsidRPr="00CC4610">
              <w:rPr>
                <w:rFonts w:ascii="Arial" w:hAnsi="Arial" w:cs="Arial"/>
                <w:sz w:val="18"/>
                <w:szCs w:val="18"/>
              </w:rPr>
              <w:t xml:space="preserve"> workers</w:t>
            </w:r>
            <w:r w:rsidR="00D7498D" w:rsidRPr="00CC4610">
              <w:rPr>
                <w:rFonts w:ascii="Arial" w:hAnsi="Arial" w:cs="Arial"/>
                <w:sz w:val="18"/>
                <w:szCs w:val="18"/>
              </w:rPr>
              <w:t>.</w:t>
            </w:r>
          </w:p>
        </w:tc>
      </w:tr>
      <w:tr w:rsidR="00510FD3" w14:paraId="03381632" w14:textId="77777777" w:rsidTr="00615A2D">
        <w:tc>
          <w:tcPr>
            <w:tcW w:w="1986" w:type="dxa"/>
          </w:tcPr>
          <w:p w14:paraId="0CE13AB4"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Suppliers</w:t>
            </w:r>
          </w:p>
        </w:tc>
        <w:tc>
          <w:tcPr>
            <w:tcW w:w="4606" w:type="dxa"/>
          </w:tcPr>
          <w:p w14:paraId="3795B5F3" w14:textId="77777777" w:rsidR="00510FD3" w:rsidRPr="00CC4610" w:rsidRDefault="00510FD3" w:rsidP="007413E5">
            <w:pPr>
              <w:rPr>
                <w:rFonts w:ascii="Arial" w:hAnsi="Arial" w:cs="Arial"/>
                <w:sz w:val="18"/>
                <w:szCs w:val="18"/>
              </w:rPr>
            </w:pPr>
            <w:r w:rsidRPr="00CC4610">
              <w:rPr>
                <w:rFonts w:ascii="Arial" w:hAnsi="Arial" w:cs="Arial"/>
                <w:sz w:val="18"/>
                <w:szCs w:val="18"/>
              </w:rPr>
              <w:t>Take all practicable steps to ensure that supplied plant is designed, made, maintained and installed so that it is safe for any known, intended, or reasonably expected use.</w:t>
            </w:r>
          </w:p>
        </w:tc>
        <w:tc>
          <w:tcPr>
            <w:tcW w:w="4466" w:type="dxa"/>
          </w:tcPr>
          <w:p w14:paraId="05720BB7"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22AA31D8" w14:textId="77777777" w:rsidTr="00615A2D">
        <w:tc>
          <w:tcPr>
            <w:tcW w:w="1986" w:type="dxa"/>
          </w:tcPr>
          <w:p w14:paraId="19B81DCF"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Employees</w:t>
            </w:r>
          </w:p>
        </w:tc>
        <w:tc>
          <w:tcPr>
            <w:tcW w:w="4606" w:type="dxa"/>
          </w:tcPr>
          <w:p w14:paraId="475C5708" w14:textId="77777777" w:rsidR="00510FD3" w:rsidRPr="00CC4610" w:rsidRDefault="00510FD3" w:rsidP="007413E5">
            <w:pPr>
              <w:rPr>
                <w:rFonts w:ascii="Arial" w:hAnsi="Arial" w:cs="Arial"/>
                <w:sz w:val="18"/>
                <w:szCs w:val="18"/>
              </w:rPr>
            </w:pPr>
            <w:r w:rsidRPr="00CC4610">
              <w:rPr>
                <w:rFonts w:ascii="Arial" w:hAnsi="Arial" w:cs="Arial"/>
                <w:sz w:val="18"/>
                <w:szCs w:val="18"/>
              </w:rPr>
              <w:t>Take all practicable steps to ensure their own safety and that no action or inaction of theirs while at work harms themselves or any other person.</w:t>
            </w:r>
          </w:p>
        </w:tc>
        <w:tc>
          <w:tcPr>
            <w:tcW w:w="4466" w:type="dxa"/>
          </w:tcPr>
          <w:p w14:paraId="3C83ADAA" w14:textId="1B03B914" w:rsidR="00510FD3" w:rsidRPr="00CC4610" w:rsidRDefault="00510FD3" w:rsidP="00BA585C">
            <w:pPr>
              <w:rPr>
                <w:rFonts w:ascii="Arial" w:hAnsi="Arial" w:cs="Arial"/>
                <w:sz w:val="18"/>
                <w:szCs w:val="18"/>
              </w:rPr>
            </w:pPr>
            <w:r w:rsidRPr="00CC4610">
              <w:rPr>
                <w:rFonts w:ascii="Arial" w:hAnsi="Arial" w:cs="Arial"/>
                <w:sz w:val="18"/>
                <w:szCs w:val="18"/>
              </w:rPr>
              <w:t>Similar intent to current legislation</w:t>
            </w:r>
            <w:r w:rsidR="00BA585C" w:rsidRPr="00CC4610">
              <w:rPr>
                <w:rFonts w:ascii="Arial" w:hAnsi="Arial" w:cs="Arial"/>
                <w:sz w:val="18"/>
                <w:szCs w:val="18"/>
              </w:rPr>
              <w:t>, but applies to all workers</w:t>
            </w:r>
            <w:r w:rsidRPr="00CC4610">
              <w:rPr>
                <w:rFonts w:ascii="Arial" w:hAnsi="Arial" w:cs="Arial"/>
                <w:sz w:val="18"/>
                <w:szCs w:val="18"/>
              </w:rPr>
              <w:t>.</w:t>
            </w:r>
          </w:p>
        </w:tc>
      </w:tr>
      <w:tr w:rsidR="00510FD3" w14:paraId="6CD20A4E" w14:textId="77777777" w:rsidTr="00615A2D">
        <w:tc>
          <w:tcPr>
            <w:tcW w:w="1986" w:type="dxa"/>
          </w:tcPr>
          <w:p w14:paraId="7646F233"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lastRenderedPageBreak/>
              <w:t>Employee participation</w:t>
            </w:r>
          </w:p>
        </w:tc>
        <w:tc>
          <w:tcPr>
            <w:tcW w:w="4606" w:type="dxa"/>
          </w:tcPr>
          <w:p w14:paraId="1AC67A5A" w14:textId="77777777" w:rsidR="00510FD3" w:rsidRPr="00CC4610" w:rsidRDefault="00510FD3" w:rsidP="007413E5">
            <w:pPr>
              <w:rPr>
                <w:rFonts w:ascii="Arial" w:hAnsi="Arial" w:cs="Arial"/>
                <w:sz w:val="18"/>
                <w:szCs w:val="18"/>
              </w:rPr>
            </w:pPr>
            <w:r w:rsidRPr="00CC4610">
              <w:rPr>
                <w:rFonts w:ascii="Arial" w:hAnsi="Arial" w:cs="Arial"/>
                <w:sz w:val="18"/>
                <w:szCs w:val="18"/>
              </w:rPr>
              <w:t>Every employer must provide reasonable opportunities for their employees to participate effectively in ongoing improvement of health and safety in the employees’ place of work.</w:t>
            </w:r>
          </w:p>
        </w:tc>
        <w:tc>
          <w:tcPr>
            <w:tcW w:w="4466" w:type="dxa"/>
          </w:tcPr>
          <w:p w14:paraId="4B5090DB" w14:textId="09479AA1" w:rsidR="004C2BD9" w:rsidRPr="00CC4610" w:rsidRDefault="00510FD3" w:rsidP="00CC4610">
            <w:pPr>
              <w:rPr>
                <w:rFonts w:ascii="Arial" w:hAnsi="Arial" w:cs="Arial"/>
                <w:sz w:val="18"/>
                <w:szCs w:val="18"/>
              </w:rPr>
            </w:pPr>
            <w:r w:rsidRPr="00CC4610">
              <w:rPr>
                <w:rFonts w:ascii="Arial" w:hAnsi="Arial" w:cs="Arial"/>
                <w:sz w:val="18"/>
                <w:szCs w:val="18"/>
              </w:rPr>
              <w:t>Similar intent to current legislation.</w:t>
            </w:r>
            <w:r w:rsidR="00BA585C" w:rsidRPr="00CC4610">
              <w:rPr>
                <w:rFonts w:ascii="Arial" w:hAnsi="Arial" w:cs="Arial"/>
                <w:sz w:val="18"/>
                <w:szCs w:val="18"/>
              </w:rPr>
              <w:t xml:space="preserve">  </w:t>
            </w:r>
            <w:r w:rsidR="00CC4610">
              <w:rPr>
                <w:rFonts w:ascii="Arial" w:hAnsi="Arial" w:cs="Arial"/>
                <w:sz w:val="18"/>
                <w:szCs w:val="18"/>
              </w:rPr>
              <w:t>E</w:t>
            </w:r>
            <w:r w:rsidR="00CC4610" w:rsidRPr="00CC4610">
              <w:rPr>
                <w:rFonts w:ascii="Arial" w:hAnsi="Arial" w:cs="Arial"/>
                <w:sz w:val="18"/>
                <w:szCs w:val="18"/>
              </w:rPr>
              <w:t>stablish</w:t>
            </w:r>
            <w:r w:rsidR="00CC4610">
              <w:rPr>
                <w:rFonts w:ascii="Arial" w:hAnsi="Arial" w:cs="Arial"/>
                <w:sz w:val="18"/>
                <w:szCs w:val="18"/>
              </w:rPr>
              <w:t>ing</w:t>
            </w:r>
            <w:r w:rsidR="00CC4610" w:rsidRPr="00CC4610">
              <w:rPr>
                <w:rFonts w:ascii="Arial" w:hAnsi="Arial" w:cs="Arial"/>
                <w:sz w:val="18"/>
                <w:szCs w:val="18"/>
              </w:rPr>
              <w:t xml:space="preserve"> </w:t>
            </w:r>
            <w:r w:rsidR="00824F72" w:rsidRPr="00CC4610">
              <w:rPr>
                <w:rFonts w:ascii="Arial" w:hAnsi="Arial" w:cs="Arial"/>
                <w:sz w:val="18"/>
                <w:szCs w:val="18"/>
              </w:rPr>
              <w:t>health and safety rep</w:t>
            </w:r>
            <w:r w:rsidR="00B91612" w:rsidRPr="00CC4610">
              <w:rPr>
                <w:rFonts w:ascii="Arial" w:hAnsi="Arial" w:cs="Arial"/>
                <w:sz w:val="18"/>
                <w:szCs w:val="18"/>
              </w:rPr>
              <w:t xml:space="preserve">resentatives and </w:t>
            </w:r>
            <w:r w:rsidR="00824F72" w:rsidRPr="00CC4610">
              <w:rPr>
                <w:rFonts w:ascii="Arial" w:hAnsi="Arial" w:cs="Arial"/>
                <w:sz w:val="18"/>
                <w:szCs w:val="18"/>
              </w:rPr>
              <w:t>committee</w:t>
            </w:r>
            <w:r w:rsidR="00B91612" w:rsidRPr="00CC4610">
              <w:rPr>
                <w:rFonts w:ascii="Arial" w:hAnsi="Arial" w:cs="Arial"/>
                <w:sz w:val="18"/>
                <w:szCs w:val="18"/>
              </w:rPr>
              <w:t xml:space="preserve">s </w:t>
            </w:r>
            <w:r w:rsidR="00CC4610">
              <w:rPr>
                <w:rFonts w:ascii="Arial" w:hAnsi="Arial" w:cs="Arial"/>
                <w:sz w:val="18"/>
                <w:szCs w:val="18"/>
              </w:rPr>
              <w:t>is</w:t>
            </w:r>
            <w:r w:rsidR="00B91612" w:rsidRPr="00CC4610">
              <w:rPr>
                <w:rFonts w:ascii="Arial" w:hAnsi="Arial" w:cs="Arial"/>
                <w:sz w:val="18"/>
                <w:szCs w:val="18"/>
              </w:rPr>
              <w:t xml:space="preserve"> not mandatory where the work is not high</w:t>
            </w:r>
            <w:r w:rsidR="00976C77" w:rsidRPr="00CC4610">
              <w:rPr>
                <w:rFonts w:ascii="Arial" w:hAnsi="Arial" w:cs="Arial"/>
                <w:sz w:val="18"/>
                <w:szCs w:val="18"/>
              </w:rPr>
              <w:t xml:space="preserve">-risk and </w:t>
            </w:r>
            <w:r w:rsidR="00B91612" w:rsidRPr="00CC4610">
              <w:rPr>
                <w:rFonts w:ascii="Arial" w:hAnsi="Arial" w:cs="Arial"/>
                <w:sz w:val="18"/>
                <w:szCs w:val="18"/>
              </w:rPr>
              <w:t xml:space="preserve">is </w:t>
            </w:r>
            <w:r w:rsidR="00976C77" w:rsidRPr="00CC4610">
              <w:rPr>
                <w:rFonts w:ascii="Arial" w:hAnsi="Arial" w:cs="Arial"/>
                <w:sz w:val="18"/>
                <w:szCs w:val="18"/>
              </w:rPr>
              <w:t>carried out by</w:t>
            </w:r>
            <w:r w:rsidR="00B91612" w:rsidRPr="00CC4610">
              <w:rPr>
                <w:rFonts w:ascii="Arial" w:hAnsi="Arial" w:cs="Arial"/>
                <w:sz w:val="18"/>
                <w:szCs w:val="18"/>
              </w:rPr>
              <w:t xml:space="preserve"> fewer than 20 workers</w:t>
            </w:r>
            <w:r w:rsidR="00CC4610">
              <w:rPr>
                <w:rFonts w:ascii="Arial" w:hAnsi="Arial" w:cs="Arial"/>
                <w:sz w:val="18"/>
                <w:szCs w:val="18"/>
              </w:rPr>
              <w:t>.</w:t>
            </w:r>
          </w:p>
        </w:tc>
      </w:tr>
      <w:tr w:rsidR="00510FD3" w14:paraId="38F66B4B" w14:textId="77777777" w:rsidTr="00615A2D">
        <w:tc>
          <w:tcPr>
            <w:tcW w:w="1986" w:type="dxa"/>
          </w:tcPr>
          <w:p w14:paraId="50E24FFD"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Codes of practice</w:t>
            </w:r>
          </w:p>
        </w:tc>
        <w:tc>
          <w:tcPr>
            <w:tcW w:w="4606" w:type="dxa"/>
          </w:tcPr>
          <w:p w14:paraId="15238E48" w14:textId="77777777" w:rsidR="00510FD3" w:rsidRPr="00CC4610" w:rsidRDefault="00510FD3" w:rsidP="007413E5">
            <w:pPr>
              <w:rPr>
                <w:rFonts w:ascii="Arial" w:hAnsi="Arial" w:cs="Arial"/>
                <w:sz w:val="18"/>
                <w:szCs w:val="18"/>
              </w:rPr>
            </w:pPr>
            <w:r w:rsidRPr="00CC4610">
              <w:rPr>
                <w:rFonts w:ascii="Arial" w:hAnsi="Arial" w:cs="Arial"/>
                <w:sz w:val="18"/>
                <w:szCs w:val="18"/>
              </w:rPr>
              <w:t>WorkSafe may issue any instrument (a code of practice) as a statement of preferred work practices or arrangements including plant, or protective clothing or equipment.</w:t>
            </w:r>
          </w:p>
        </w:tc>
        <w:tc>
          <w:tcPr>
            <w:tcW w:w="4466" w:type="dxa"/>
          </w:tcPr>
          <w:p w14:paraId="10160CD1" w14:textId="77777777" w:rsidR="00510FD3" w:rsidRPr="00CC4610" w:rsidRDefault="008E225D"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35F9517F" w14:textId="77777777" w:rsidTr="00615A2D">
        <w:tc>
          <w:tcPr>
            <w:tcW w:w="1986" w:type="dxa"/>
          </w:tcPr>
          <w:p w14:paraId="607EED04"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Regulations</w:t>
            </w:r>
          </w:p>
        </w:tc>
        <w:tc>
          <w:tcPr>
            <w:tcW w:w="4606" w:type="dxa"/>
          </w:tcPr>
          <w:p w14:paraId="0057AB51" w14:textId="77777777" w:rsidR="00510FD3" w:rsidRPr="00CC4610" w:rsidRDefault="00510FD3" w:rsidP="007413E5">
            <w:pPr>
              <w:rPr>
                <w:rFonts w:ascii="Arial" w:hAnsi="Arial" w:cs="Arial"/>
                <w:sz w:val="18"/>
                <w:szCs w:val="18"/>
              </w:rPr>
            </w:pPr>
            <w:r w:rsidRPr="00CC4610">
              <w:rPr>
                <w:rFonts w:ascii="Arial" w:hAnsi="Arial" w:cs="Arial"/>
                <w:sz w:val="18"/>
                <w:szCs w:val="18"/>
              </w:rPr>
              <w:t>The government may make regulations under the Act about a number of matters covered by the Act, and must consult with relevant parties.</w:t>
            </w:r>
          </w:p>
        </w:tc>
        <w:tc>
          <w:tcPr>
            <w:tcW w:w="4466" w:type="dxa"/>
          </w:tcPr>
          <w:p w14:paraId="3E53F561" w14:textId="77777777" w:rsidR="00510FD3" w:rsidRPr="00CC4610" w:rsidRDefault="008E225D"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13A83EC7" w14:textId="77777777" w:rsidTr="00615A2D">
        <w:tc>
          <w:tcPr>
            <w:tcW w:w="1986" w:type="dxa"/>
          </w:tcPr>
          <w:p w14:paraId="38B85366"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Accidents</w:t>
            </w:r>
          </w:p>
        </w:tc>
        <w:tc>
          <w:tcPr>
            <w:tcW w:w="4606" w:type="dxa"/>
          </w:tcPr>
          <w:p w14:paraId="126436DD" w14:textId="77777777" w:rsidR="00510FD3" w:rsidRPr="00CC4610" w:rsidRDefault="00510FD3" w:rsidP="007413E5">
            <w:pPr>
              <w:rPr>
                <w:rFonts w:ascii="Arial" w:hAnsi="Arial" w:cs="Arial"/>
                <w:sz w:val="18"/>
                <w:szCs w:val="18"/>
              </w:rPr>
            </w:pPr>
            <w:r w:rsidRPr="00CC4610">
              <w:rPr>
                <w:rFonts w:ascii="Arial" w:hAnsi="Arial" w:cs="Arial"/>
                <w:sz w:val="18"/>
                <w:szCs w:val="18"/>
              </w:rPr>
              <w:t>Every employer, self-employed person and principal must maintain a register of accidents and serious harm, record the prescribed particulars and notify WorkSafe as soon as possible, and in writing within 7 days.</w:t>
            </w:r>
          </w:p>
          <w:p w14:paraId="299988B7" w14:textId="77777777" w:rsidR="00510FD3" w:rsidRPr="00CC4610" w:rsidRDefault="00510FD3" w:rsidP="007413E5">
            <w:pPr>
              <w:rPr>
                <w:rFonts w:ascii="Arial" w:hAnsi="Arial" w:cs="Arial"/>
                <w:sz w:val="18"/>
                <w:szCs w:val="18"/>
              </w:rPr>
            </w:pPr>
            <w:r w:rsidRPr="00CC4610">
              <w:rPr>
                <w:rFonts w:ascii="Arial" w:hAnsi="Arial" w:cs="Arial"/>
                <w:sz w:val="18"/>
                <w:szCs w:val="18"/>
              </w:rPr>
              <w:t>Accident scenes are to be preserved where possible.  The Minister may direct a District Court Judge to inquire into the cause of an accident, and a Coroner may call for a report on a fatal accident.</w:t>
            </w:r>
          </w:p>
        </w:tc>
        <w:tc>
          <w:tcPr>
            <w:tcW w:w="4466" w:type="dxa"/>
          </w:tcPr>
          <w:p w14:paraId="117A15EF" w14:textId="6CA3706D" w:rsidR="00F25D18" w:rsidRPr="00CC4610" w:rsidRDefault="00510FD3" w:rsidP="008D2B6A">
            <w:pPr>
              <w:rPr>
                <w:rFonts w:ascii="Arial" w:hAnsi="Arial" w:cs="Arial"/>
                <w:sz w:val="18"/>
                <w:szCs w:val="18"/>
              </w:rPr>
            </w:pPr>
            <w:r w:rsidRPr="00CC4610">
              <w:rPr>
                <w:rFonts w:ascii="Arial" w:hAnsi="Arial" w:cs="Arial"/>
                <w:sz w:val="18"/>
                <w:szCs w:val="18"/>
              </w:rPr>
              <w:t>Similar intent to current legislation</w:t>
            </w:r>
            <w:r w:rsidR="00B91612" w:rsidRPr="00CC4610">
              <w:rPr>
                <w:rFonts w:ascii="Arial" w:hAnsi="Arial" w:cs="Arial"/>
                <w:sz w:val="18"/>
                <w:szCs w:val="18"/>
              </w:rPr>
              <w:t>, but the notification obligations are broader</w:t>
            </w:r>
            <w:r w:rsidRPr="00CC4610">
              <w:rPr>
                <w:rFonts w:ascii="Arial" w:hAnsi="Arial" w:cs="Arial"/>
                <w:sz w:val="18"/>
                <w:szCs w:val="18"/>
              </w:rPr>
              <w:t>.</w:t>
            </w:r>
            <w:r w:rsidR="00D7498D" w:rsidRPr="00CC4610">
              <w:rPr>
                <w:rFonts w:ascii="Arial" w:hAnsi="Arial" w:cs="Arial"/>
                <w:sz w:val="18"/>
                <w:szCs w:val="18"/>
              </w:rPr>
              <w:t xml:space="preserve">  </w:t>
            </w:r>
            <w:r w:rsidR="00C86270" w:rsidRPr="00CC4610">
              <w:rPr>
                <w:rFonts w:ascii="Arial" w:hAnsi="Arial" w:cs="Arial"/>
                <w:sz w:val="18"/>
                <w:szCs w:val="18"/>
              </w:rPr>
              <w:t xml:space="preserve">A PCBU must </w:t>
            </w:r>
            <w:r w:rsidR="00B91612" w:rsidRPr="00CC4610">
              <w:rPr>
                <w:rFonts w:ascii="Arial" w:hAnsi="Arial" w:cs="Arial"/>
                <w:sz w:val="18"/>
                <w:szCs w:val="18"/>
              </w:rPr>
              <w:t xml:space="preserve">immediately </w:t>
            </w:r>
            <w:r w:rsidR="00C86270" w:rsidRPr="00CC4610">
              <w:rPr>
                <w:rFonts w:ascii="Arial" w:hAnsi="Arial" w:cs="Arial"/>
                <w:sz w:val="18"/>
                <w:szCs w:val="18"/>
              </w:rPr>
              <w:t>notify WorkSafe of</w:t>
            </w:r>
            <w:r w:rsidR="00F25D18" w:rsidRPr="00CC4610">
              <w:rPr>
                <w:rFonts w:ascii="Arial" w:hAnsi="Arial" w:cs="Arial"/>
                <w:sz w:val="18"/>
                <w:szCs w:val="18"/>
              </w:rPr>
              <w:t xml:space="preserve"> deaths, significant injuries and illnesses</w:t>
            </w:r>
            <w:r w:rsidR="00976C77" w:rsidRPr="00CC4610">
              <w:rPr>
                <w:rFonts w:ascii="Arial" w:hAnsi="Arial" w:cs="Arial"/>
                <w:sz w:val="18"/>
                <w:szCs w:val="18"/>
              </w:rPr>
              <w:t xml:space="preserve">, and </w:t>
            </w:r>
            <w:r w:rsidR="00B91612" w:rsidRPr="00CC4610">
              <w:rPr>
                <w:rFonts w:ascii="Arial" w:hAnsi="Arial" w:cs="Arial"/>
                <w:sz w:val="18"/>
                <w:szCs w:val="18"/>
              </w:rPr>
              <w:t xml:space="preserve">certain </w:t>
            </w:r>
            <w:r w:rsidR="00976C77" w:rsidRPr="00CC4610">
              <w:rPr>
                <w:rFonts w:ascii="Arial" w:hAnsi="Arial" w:cs="Arial"/>
                <w:sz w:val="18"/>
                <w:szCs w:val="18"/>
              </w:rPr>
              <w:t xml:space="preserve">other </w:t>
            </w:r>
            <w:r w:rsidR="00C65624" w:rsidRPr="00CC4610">
              <w:rPr>
                <w:rFonts w:ascii="Arial" w:hAnsi="Arial" w:cs="Arial"/>
                <w:sz w:val="18"/>
                <w:szCs w:val="18"/>
              </w:rPr>
              <w:t>(non-</w:t>
            </w:r>
            <w:r w:rsidR="00B91612" w:rsidRPr="00CC4610">
              <w:rPr>
                <w:rFonts w:ascii="Arial" w:hAnsi="Arial" w:cs="Arial"/>
                <w:sz w:val="18"/>
                <w:szCs w:val="18"/>
              </w:rPr>
              <w:t xml:space="preserve">harm) </w:t>
            </w:r>
            <w:r w:rsidR="00976C77" w:rsidRPr="00CC4610">
              <w:rPr>
                <w:rFonts w:ascii="Arial" w:hAnsi="Arial" w:cs="Arial"/>
                <w:sz w:val="18"/>
                <w:szCs w:val="18"/>
              </w:rPr>
              <w:t>incidents</w:t>
            </w:r>
            <w:r w:rsidR="008D2B6A" w:rsidRPr="00CC4610">
              <w:rPr>
                <w:rFonts w:ascii="Arial" w:hAnsi="Arial" w:cs="Arial"/>
                <w:sz w:val="18"/>
                <w:szCs w:val="18"/>
              </w:rPr>
              <w:t>.</w:t>
            </w:r>
          </w:p>
        </w:tc>
      </w:tr>
      <w:tr w:rsidR="00510FD3" w14:paraId="295AC705" w14:textId="77777777" w:rsidTr="00615A2D">
        <w:tc>
          <w:tcPr>
            <w:tcW w:w="1986" w:type="dxa"/>
          </w:tcPr>
          <w:p w14:paraId="387D20AD"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Right to refuse work</w:t>
            </w:r>
          </w:p>
        </w:tc>
        <w:tc>
          <w:tcPr>
            <w:tcW w:w="4606" w:type="dxa"/>
          </w:tcPr>
          <w:p w14:paraId="335B5228" w14:textId="77777777" w:rsidR="00510FD3" w:rsidRPr="00CC4610" w:rsidRDefault="00510FD3" w:rsidP="007413E5">
            <w:pPr>
              <w:rPr>
                <w:rFonts w:ascii="Arial" w:hAnsi="Arial" w:cs="Arial"/>
                <w:sz w:val="18"/>
                <w:szCs w:val="18"/>
              </w:rPr>
            </w:pPr>
            <w:r w:rsidRPr="00CC4610">
              <w:rPr>
                <w:rFonts w:ascii="Arial" w:hAnsi="Arial" w:cs="Arial"/>
                <w:sz w:val="18"/>
                <w:szCs w:val="18"/>
              </w:rPr>
              <w:t>Employees may refuse to perform work likely to cause serious harm.  An employee may not refuse to do work that inherently or usually carries an understood risk of serious harm unless the risk has materially increased.</w:t>
            </w:r>
          </w:p>
        </w:tc>
        <w:tc>
          <w:tcPr>
            <w:tcW w:w="4466" w:type="dxa"/>
          </w:tcPr>
          <w:p w14:paraId="516BA30B"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5069651C" w14:textId="77777777" w:rsidTr="00615A2D">
        <w:tc>
          <w:tcPr>
            <w:tcW w:w="1986" w:type="dxa"/>
          </w:tcPr>
          <w:p w14:paraId="1A91E57B"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Enforcement by other agencies</w:t>
            </w:r>
          </w:p>
        </w:tc>
        <w:tc>
          <w:tcPr>
            <w:tcW w:w="4606" w:type="dxa"/>
          </w:tcPr>
          <w:p w14:paraId="6A1D7147" w14:textId="77777777" w:rsidR="00510FD3" w:rsidRPr="00CC4610" w:rsidRDefault="00510FD3" w:rsidP="007413E5">
            <w:pPr>
              <w:rPr>
                <w:rFonts w:ascii="Arial" w:hAnsi="Arial" w:cs="Arial"/>
                <w:sz w:val="18"/>
                <w:szCs w:val="18"/>
              </w:rPr>
            </w:pPr>
            <w:r w:rsidRPr="00CC4610">
              <w:rPr>
                <w:rFonts w:ascii="Arial" w:hAnsi="Arial" w:cs="Arial"/>
                <w:sz w:val="18"/>
                <w:szCs w:val="18"/>
              </w:rPr>
              <w:t>Other agencies may be designated to administer the Act for a particular industry, sector, or type of work.</w:t>
            </w:r>
          </w:p>
        </w:tc>
        <w:tc>
          <w:tcPr>
            <w:tcW w:w="4466" w:type="dxa"/>
          </w:tcPr>
          <w:p w14:paraId="068FA995"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03271537" w14:textId="77777777" w:rsidTr="00615A2D">
        <w:tc>
          <w:tcPr>
            <w:tcW w:w="1986" w:type="dxa"/>
          </w:tcPr>
          <w:p w14:paraId="7658D4E9"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Inspectors</w:t>
            </w:r>
          </w:p>
        </w:tc>
        <w:tc>
          <w:tcPr>
            <w:tcW w:w="4606" w:type="dxa"/>
          </w:tcPr>
          <w:p w14:paraId="48ECE482" w14:textId="77777777" w:rsidR="00510FD3" w:rsidRPr="00CC4610" w:rsidRDefault="00510FD3" w:rsidP="007413E5">
            <w:pPr>
              <w:rPr>
                <w:rFonts w:ascii="Arial" w:hAnsi="Arial" w:cs="Arial"/>
                <w:sz w:val="18"/>
                <w:szCs w:val="18"/>
              </w:rPr>
            </w:pPr>
            <w:r w:rsidRPr="00CC4610">
              <w:rPr>
                <w:rFonts w:ascii="Arial" w:hAnsi="Arial" w:cs="Arial"/>
                <w:sz w:val="18"/>
                <w:szCs w:val="18"/>
              </w:rPr>
              <w:t>WorkSafe will appoint inspectors who will have powers to enter any place of work and conduct examinations, tests, enquiries or inspections.</w:t>
            </w:r>
          </w:p>
        </w:tc>
        <w:tc>
          <w:tcPr>
            <w:tcW w:w="4466" w:type="dxa"/>
          </w:tcPr>
          <w:p w14:paraId="43071E6D"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426CD153" w14:textId="77777777" w:rsidTr="00615A2D">
        <w:tc>
          <w:tcPr>
            <w:tcW w:w="1986" w:type="dxa"/>
          </w:tcPr>
          <w:p w14:paraId="0D659BC0"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Medical practitioners</w:t>
            </w:r>
          </w:p>
        </w:tc>
        <w:tc>
          <w:tcPr>
            <w:tcW w:w="4606" w:type="dxa"/>
          </w:tcPr>
          <w:p w14:paraId="0E14D425" w14:textId="77777777" w:rsidR="00510FD3" w:rsidRPr="00CC4610" w:rsidRDefault="00510FD3" w:rsidP="007413E5">
            <w:pPr>
              <w:rPr>
                <w:rFonts w:ascii="Arial" w:hAnsi="Arial" w:cs="Arial"/>
                <w:sz w:val="18"/>
                <w:szCs w:val="18"/>
              </w:rPr>
            </w:pPr>
            <w:r w:rsidRPr="00CC4610">
              <w:rPr>
                <w:rFonts w:ascii="Arial" w:hAnsi="Arial" w:cs="Arial"/>
                <w:sz w:val="18"/>
                <w:szCs w:val="18"/>
              </w:rPr>
              <w:t>WorkSafe may appoint any medical practitioner to be a health and safety medical practitioner who may enter any place of work, require medical examinations of any employee, and suspend employees in certain cases.</w:t>
            </w:r>
          </w:p>
        </w:tc>
        <w:tc>
          <w:tcPr>
            <w:tcW w:w="4466" w:type="dxa"/>
          </w:tcPr>
          <w:p w14:paraId="501B4D2F"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71314ABE" w14:textId="77777777" w:rsidTr="00615A2D">
        <w:tc>
          <w:tcPr>
            <w:tcW w:w="1986" w:type="dxa"/>
          </w:tcPr>
          <w:p w14:paraId="63A74168"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Hazard, improvement &amp; prohibition notices</w:t>
            </w:r>
          </w:p>
        </w:tc>
        <w:tc>
          <w:tcPr>
            <w:tcW w:w="4606" w:type="dxa"/>
          </w:tcPr>
          <w:p w14:paraId="22850DF9" w14:textId="77777777" w:rsidR="00510FD3" w:rsidRPr="00CC4610" w:rsidRDefault="00510FD3" w:rsidP="007413E5">
            <w:pPr>
              <w:rPr>
                <w:rFonts w:ascii="Arial" w:hAnsi="Arial" w:cs="Arial"/>
                <w:sz w:val="18"/>
                <w:szCs w:val="18"/>
              </w:rPr>
            </w:pPr>
            <w:r w:rsidRPr="00CC4610">
              <w:rPr>
                <w:rFonts w:ascii="Arial" w:hAnsi="Arial" w:cs="Arial"/>
                <w:sz w:val="18"/>
                <w:szCs w:val="18"/>
              </w:rPr>
              <w:t>WorkSafe inspectors may issue improvement and prohibition notices.  Any person affected by an inspector’s notice may appeal to a District Court within 14 days on the grounds that it is unreasonable.  Trained health and safety representatives may issue hazard notices to their employer and may notify a WorkSafe inspector of that fact.</w:t>
            </w:r>
          </w:p>
        </w:tc>
        <w:tc>
          <w:tcPr>
            <w:tcW w:w="4466" w:type="dxa"/>
          </w:tcPr>
          <w:p w14:paraId="6575BF1B"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r w:rsidR="00510FD3" w14:paraId="4A1D14E3" w14:textId="77777777" w:rsidTr="00615A2D">
        <w:tc>
          <w:tcPr>
            <w:tcW w:w="1986" w:type="dxa"/>
          </w:tcPr>
          <w:p w14:paraId="0B0D565C"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Offences &amp; penalties</w:t>
            </w:r>
          </w:p>
        </w:tc>
        <w:tc>
          <w:tcPr>
            <w:tcW w:w="4606" w:type="dxa"/>
          </w:tcPr>
          <w:p w14:paraId="19B6BA4D" w14:textId="77777777" w:rsidR="00510FD3" w:rsidRPr="00CC4610" w:rsidRDefault="00510FD3" w:rsidP="007413E5">
            <w:pPr>
              <w:rPr>
                <w:rFonts w:ascii="Arial" w:hAnsi="Arial" w:cs="Arial"/>
                <w:sz w:val="18"/>
                <w:szCs w:val="18"/>
              </w:rPr>
            </w:pPr>
            <w:r w:rsidRPr="00CC4610">
              <w:rPr>
                <w:rFonts w:ascii="Arial" w:hAnsi="Arial" w:cs="Arial"/>
                <w:sz w:val="18"/>
                <w:szCs w:val="18"/>
              </w:rPr>
              <w:t>Any person who takes action (or fails to take action) knowing that their action or inaction is reasonably likely to cause serious harm to any person commits an offence against the Act.</w:t>
            </w:r>
          </w:p>
          <w:p w14:paraId="1215DC44" w14:textId="77777777" w:rsidR="00510FD3" w:rsidRPr="00CC4610" w:rsidRDefault="00510FD3" w:rsidP="007413E5">
            <w:pPr>
              <w:rPr>
                <w:rFonts w:ascii="Arial" w:hAnsi="Arial" w:cs="Arial"/>
                <w:sz w:val="18"/>
                <w:szCs w:val="18"/>
              </w:rPr>
            </w:pPr>
            <w:r w:rsidRPr="00CC4610">
              <w:rPr>
                <w:rFonts w:ascii="Arial" w:hAnsi="Arial" w:cs="Arial"/>
                <w:sz w:val="18"/>
                <w:szCs w:val="18"/>
              </w:rPr>
              <w:t>Every person convicted under this act is subject to imprisonment for a term of not more than 2 years and / or a fine of not more than $500,000.</w:t>
            </w:r>
          </w:p>
          <w:p w14:paraId="6BAFCA55" w14:textId="77777777" w:rsidR="00510FD3" w:rsidRPr="00CC4610" w:rsidRDefault="00510FD3" w:rsidP="007413E5">
            <w:pPr>
              <w:rPr>
                <w:rFonts w:ascii="Arial" w:hAnsi="Arial" w:cs="Arial"/>
                <w:sz w:val="18"/>
                <w:szCs w:val="18"/>
              </w:rPr>
            </w:pPr>
            <w:r w:rsidRPr="00CC4610">
              <w:rPr>
                <w:rFonts w:ascii="Arial" w:hAnsi="Arial" w:cs="Arial"/>
                <w:sz w:val="18"/>
                <w:szCs w:val="18"/>
              </w:rPr>
              <w:t>Other offences are subject to fines of up to $250,000.</w:t>
            </w:r>
          </w:p>
        </w:tc>
        <w:tc>
          <w:tcPr>
            <w:tcW w:w="4466" w:type="dxa"/>
          </w:tcPr>
          <w:p w14:paraId="51F21078" w14:textId="77777777" w:rsidR="00510FD3" w:rsidRPr="00CC4610" w:rsidRDefault="00510FD3" w:rsidP="007413E5">
            <w:pPr>
              <w:rPr>
                <w:rFonts w:ascii="Arial" w:hAnsi="Arial" w:cs="Arial"/>
                <w:sz w:val="18"/>
                <w:szCs w:val="18"/>
              </w:rPr>
            </w:pPr>
            <w:r w:rsidRPr="00CC4610">
              <w:rPr>
                <w:rFonts w:ascii="Arial" w:hAnsi="Arial" w:cs="Arial"/>
                <w:sz w:val="18"/>
                <w:szCs w:val="18"/>
              </w:rPr>
              <w:t>Reckless conduct = individual (5 years imprisonment and / or up to $300,000 fine), PCBU/officer (5 years imprisonment and / or up to $600,000 fine), other person (fine up to $3m)</w:t>
            </w:r>
          </w:p>
          <w:p w14:paraId="4E6EB385" w14:textId="77777777" w:rsidR="00510FD3" w:rsidRPr="00CC4610" w:rsidRDefault="00510FD3" w:rsidP="007413E5">
            <w:pPr>
              <w:rPr>
                <w:rFonts w:ascii="Arial" w:hAnsi="Arial" w:cs="Arial"/>
                <w:sz w:val="18"/>
                <w:szCs w:val="18"/>
              </w:rPr>
            </w:pPr>
            <w:r w:rsidRPr="00CC4610">
              <w:rPr>
                <w:rFonts w:ascii="Arial" w:hAnsi="Arial" w:cs="Arial"/>
                <w:sz w:val="18"/>
                <w:szCs w:val="18"/>
              </w:rPr>
              <w:t>Risk of death / serious harm = individual (up to $150,000 fine), PCBU/officer (up to $300,000 fine), other person (fine up to $1.5m)</w:t>
            </w:r>
          </w:p>
          <w:p w14:paraId="07E9CCB0" w14:textId="77777777" w:rsidR="00510FD3" w:rsidRPr="00CC4610" w:rsidRDefault="00510FD3" w:rsidP="007413E5">
            <w:pPr>
              <w:rPr>
                <w:rFonts w:ascii="Arial" w:hAnsi="Arial" w:cs="Arial"/>
                <w:sz w:val="18"/>
                <w:szCs w:val="18"/>
              </w:rPr>
            </w:pPr>
            <w:r w:rsidRPr="00CC4610">
              <w:rPr>
                <w:rFonts w:ascii="Arial" w:hAnsi="Arial" w:cs="Arial"/>
                <w:sz w:val="18"/>
                <w:szCs w:val="18"/>
              </w:rPr>
              <w:t>Duty failure = individual (up to $50,000 fine), PCBU/officer (up to $100,000 fine), other person (fine up to $500,000)</w:t>
            </w:r>
          </w:p>
          <w:p w14:paraId="2F5E2779" w14:textId="77777777" w:rsidR="00510FD3" w:rsidRPr="00CC4610" w:rsidRDefault="00510FD3" w:rsidP="007413E5">
            <w:pPr>
              <w:rPr>
                <w:rFonts w:ascii="Arial" w:hAnsi="Arial" w:cs="Arial"/>
                <w:sz w:val="18"/>
                <w:szCs w:val="18"/>
              </w:rPr>
            </w:pPr>
            <w:r w:rsidRPr="00CC4610">
              <w:rPr>
                <w:rFonts w:ascii="Arial" w:hAnsi="Arial" w:cs="Arial"/>
                <w:sz w:val="18"/>
                <w:szCs w:val="18"/>
              </w:rPr>
              <w:t>Volunteers and unincorporated associations may be liable.</w:t>
            </w:r>
          </w:p>
        </w:tc>
      </w:tr>
      <w:tr w:rsidR="00510FD3" w14:paraId="0C13FE0F" w14:textId="77777777" w:rsidTr="00615A2D">
        <w:tc>
          <w:tcPr>
            <w:tcW w:w="1986" w:type="dxa"/>
          </w:tcPr>
          <w:p w14:paraId="58B730B0"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Infringement offences</w:t>
            </w:r>
          </w:p>
        </w:tc>
        <w:tc>
          <w:tcPr>
            <w:tcW w:w="4606" w:type="dxa"/>
          </w:tcPr>
          <w:p w14:paraId="06D3C32E" w14:textId="77777777" w:rsidR="00510FD3" w:rsidRPr="00CC4610" w:rsidRDefault="00510FD3" w:rsidP="007413E5">
            <w:pPr>
              <w:rPr>
                <w:rFonts w:ascii="Arial" w:hAnsi="Arial" w:cs="Arial"/>
                <w:sz w:val="18"/>
                <w:szCs w:val="18"/>
              </w:rPr>
            </w:pPr>
            <w:r w:rsidRPr="00CC4610">
              <w:rPr>
                <w:rFonts w:ascii="Arial" w:hAnsi="Arial" w:cs="Arial"/>
                <w:sz w:val="18"/>
                <w:szCs w:val="18"/>
              </w:rPr>
              <w:t>Any person issued with an infringement notice is subject to an infringement fee of up to $4,000 depending on the offence and other factors.</w:t>
            </w:r>
          </w:p>
        </w:tc>
        <w:tc>
          <w:tcPr>
            <w:tcW w:w="4466" w:type="dxa"/>
          </w:tcPr>
          <w:p w14:paraId="04F37D21" w14:textId="563EFAE4" w:rsidR="00510FD3" w:rsidRPr="00CC4610" w:rsidRDefault="006E0F0A" w:rsidP="008D2B6A">
            <w:pPr>
              <w:rPr>
                <w:rFonts w:ascii="Arial" w:hAnsi="Arial" w:cs="Arial"/>
                <w:sz w:val="18"/>
                <w:szCs w:val="18"/>
              </w:rPr>
            </w:pPr>
            <w:r w:rsidRPr="00CC4610">
              <w:rPr>
                <w:rFonts w:ascii="Arial" w:hAnsi="Arial" w:cs="Arial"/>
                <w:sz w:val="18"/>
                <w:szCs w:val="18"/>
              </w:rPr>
              <w:t xml:space="preserve">Similar intent to current legislation.  For more information see the </w:t>
            </w:r>
            <w:hyperlink r:id="rId12" w:history="1">
              <w:r w:rsidRPr="00CC4610">
                <w:rPr>
                  <w:rStyle w:val="Hyperlink"/>
                  <w:rFonts w:ascii="Arial" w:hAnsi="Arial" w:cs="Arial"/>
                  <w:sz w:val="18"/>
                  <w:szCs w:val="18"/>
                </w:rPr>
                <w:t>draft regulations</w:t>
              </w:r>
            </w:hyperlink>
          </w:p>
        </w:tc>
      </w:tr>
      <w:tr w:rsidR="00510FD3" w14:paraId="155380C9" w14:textId="77777777" w:rsidTr="00615A2D">
        <w:tc>
          <w:tcPr>
            <w:tcW w:w="1986" w:type="dxa"/>
          </w:tcPr>
          <w:p w14:paraId="76063939" w14:textId="77777777" w:rsidR="00510FD3" w:rsidRPr="00CC4610" w:rsidRDefault="00510FD3" w:rsidP="00203D0F">
            <w:pPr>
              <w:pStyle w:val="Subtitle"/>
              <w:rPr>
                <w:rFonts w:ascii="Arial" w:hAnsi="Arial" w:cs="Arial"/>
                <w:sz w:val="20"/>
                <w:szCs w:val="20"/>
              </w:rPr>
            </w:pPr>
            <w:r w:rsidRPr="00CC4610">
              <w:rPr>
                <w:rFonts w:ascii="Arial" w:hAnsi="Arial" w:cs="Arial"/>
                <w:sz w:val="20"/>
                <w:szCs w:val="20"/>
              </w:rPr>
              <w:t>Insurance against fines</w:t>
            </w:r>
          </w:p>
        </w:tc>
        <w:tc>
          <w:tcPr>
            <w:tcW w:w="4606" w:type="dxa"/>
          </w:tcPr>
          <w:p w14:paraId="67CE2D40" w14:textId="77777777" w:rsidR="00510FD3" w:rsidRPr="00CC4610" w:rsidRDefault="00510FD3" w:rsidP="007413E5">
            <w:pPr>
              <w:rPr>
                <w:rFonts w:ascii="Arial" w:hAnsi="Arial" w:cs="Arial"/>
                <w:sz w:val="18"/>
                <w:szCs w:val="18"/>
              </w:rPr>
            </w:pPr>
            <w:r w:rsidRPr="00CC4610">
              <w:rPr>
                <w:rFonts w:ascii="Arial" w:hAnsi="Arial" w:cs="Arial"/>
                <w:sz w:val="18"/>
                <w:szCs w:val="18"/>
              </w:rPr>
              <w:t>Insurance against fines or infringement fees are unlawful and of no effect.</w:t>
            </w:r>
          </w:p>
        </w:tc>
        <w:tc>
          <w:tcPr>
            <w:tcW w:w="4466" w:type="dxa"/>
          </w:tcPr>
          <w:p w14:paraId="6BAADFAB" w14:textId="77777777" w:rsidR="00510FD3" w:rsidRPr="00CC4610" w:rsidRDefault="00510FD3" w:rsidP="007413E5">
            <w:pPr>
              <w:rPr>
                <w:rFonts w:ascii="Arial" w:hAnsi="Arial" w:cs="Arial"/>
                <w:sz w:val="18"/>
                <w:szCs w:val="18"/>
              </w:rPr>
            </w:pPr>
            <w:r w:rsidRPr="00CC4610">
              <w:rPr>
                <w:rFonts w:ascii="Arial" w:hAnsi="Arial" w:cs="Arial"/>
                <w:sz w:val="18"/>
                <w:szCs w:val="18"/>
              </w:rPr>
              <w:t>Similar intent to current legislation.</w:t>
            </w:r>
          </w:p>
        </w:tc>
      </w:tr>
    </w:tbl>
    <w:p w14:paraId="3F805498" w14:textId="77777777" w:rsidR="00510FD3" w:rsidRPr="00B35D7F" w:rsidRDefault="00510FD3" w:rsidP="00B35D7F">
      <w:pPr>
        <w:ind w:left="-993"/>
        <w:rPr>
          <w:sz w:val="16"/>
          <w:szCs w:val="16"/>
        </w:rPr>
      </w:pPr>
    </w:p>
    <w:sectPr w:rsidR="00510FD3" w:rsidRPr="00B35D7F" w:rsidSect="002F3BF5">
      <w:headerReference w:type="default" r:id="rId13"/>
      <w:footerReference w:type="default" r:id="rId14"/>
      <w:pgSz w:w="11899" w:h="16838"/>
      <w:pgMar w:top="1985"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24AF9" w14:textId="77777777" w:rsidR="000439B9" w:rsidRDefault="000439B9">
      <w:r>
        <w:separator/>
      </w:r>
    </w:p>
  </w:endnote>
  <w:endnote w:type="continuationSeparator" w:id="0">
    <w:p w14:paraId="5CA9F0A2" w14:textId="77777777" w:rsidR="000439B9" w:rsidRDefault="0004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01FD" w14:textId="28D15F0C" w:rsidR="008D2B6A" w:rsidRPr="00203D0F" w:rsidRDefault="008D2B6A" w:rsidP="008D2B6A">
    <w:pPr>
      <w:ind w:left="-993"/>
      <w:jc w:val="center"/>
      <w:rPr>
        <w:sz w:val="16"/>
        <w:szCs w:val="16"/>
      </w:rPr>
    </w:pPr>
    <w:r>
      <w:rPr>
        <w:sz w:val="16"/>
        <w:szCs w:val="16"/>
      </w:rPr>
      <w:t>The information above is of a general nature and will not address specific individual circumstances.</w:t>
    </w:r>
    <w:r w:rsidR="007E39D1">
      <w:rPr>
        <w:sz w:val="16"/>
        <w:szCs w:val="16"/>
      </w:rPr>
      <w:t xml:space="preserve">  You may be able to contact our </w:t>
    </w:r>
    <w:hyperlink r:id="rId1" w:history="1">
      <w:r w:rsidR="007E39D1" w:rsidRPr="007E39D1">
        <w:rPr>
          <w:rStyle w:val="Hyperlink"/>
          <w:sz w:val="16"/>
          <w:szCs w:val="16"/>
        </w:rPr>
        <w:t>Legal Helpdesk</w:t>
      </w:r>
    </w:hyperlink>
    <w:r w:rsidR="007E39D1">
      <w:rPr>
        <w:sz w:val="16"/>
        <w:szCs w:val="16"/>
      </w:rPr>
      <w:t xml:space="preserve"> for specific advice.  F</w:t>
    </w:r>
    <w:r w:rsidRPr="00203D0F">
      <w:rPr>
        <w:sz w:val="16"/>
        <w:szCs w:val="16"/>
      </w:rPr>
      <w:t xml:space="preserve">or more information and updates go to:  </w:t>
    </w:r>
    <w:hyperlink r:id="rId2" w:history="1">
      <w:r w:rsidRPr="00203D0F">
        <w:rPr>
          <w:rStyle w:val="Hyperlink"/>
          <w:sz w:val="16"/>
          <w:szCs w:val="16"/>
        </w:rPr>
        <w:t>http://www.business.govt.nz/worksafe/about/reform/reform-bill-update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1AA88" w14:textId="77777777" w:rsidR="000439B9" w:rsidRDefault="000439B9">
      <w:r>
        <w:separator/>
      </w:r>
    </w:p>
  </w:footnote>
  <w:footnote w:type="continuationSeparator" w:id="0">
    <w:p w14:paraId="4A404FB7" w14:textId="77777777" w:rsidR="000439B9" w:rsidRDefault="00043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F85D8" w14:textId="491133C5" w:rsidR="004463D3" w:rsidRDefault="002F3BF5">
    <w:pPr>
      <w:pStyle w:val="Header"/>
    </w:pPr>
    <w:r>
      <w:rPr>
        <w:noProof/>
        <w:lang w:val="en-NZ" w:eastAsia="en-NZ"/>
      </w:rPr>
      <w:drawing>
        <wp:anchor distT="0" distB="0" distL="114300" distR="114300" simplePos="0" relativeHeight="251659264" behindDoc="1" locked="0" layoutInCell="1" allowOverlap="1" wp14:anchorId="33FBE97B" wp14:editId="750AD3F1">
          <wp:simplePos x="0" y="0"/>
          <wp:positionH relativeFrom="column">
            <wp:posOffset>-443230</wp:posOffset>
          </wp:positionH>
          <wp:positionV relativeFrom="paragraph">
            <wp:posOffset>7620</wp:posOffset>
          </wp:positionV>
          <wp:extent cx="6819900" cy="668618"/>
          <wp:effectExtent l="0" t="0" r="0" b="0"/>
          <wp:wrapNone/>
          <wp:docPr id="2" name="Picture 2" descr="F:\Marketing and Communications\15 Design\NEW SPORT NEW ZEALAND\Sport NZ Design Jobs\THE CORPORATE SERVICES\Dual Branding\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 and Communications\15 Design\NEW SPORT NEW ZEALAND\Sport NZ Design Jobs\THE CORPORATE SERVICES\Dual Branding\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9900" cy="6686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F0A"/>
    <w:multiLevelType w:val="hybridMultilevel"/>
    <w:tmpl w:val="C7140622"/>
    <w:lvl w:ilvl="0" w:tplc="098EF13A">
      <w:start w:val="1"/>
      <w:numFmt w:val="bullet"/>
      <w:lvlText w:val="-"/>
      <w:lvlJc w:val="left"/>
      <w:pPr>
        <w:ind w:left="720" w:hanging="360"/>
      </w:pPr>
      <w:rPr>
        <w:rFonts w:ascii="Calibri" w:eastAsia="Times New Roman"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DA54140"/>
    <w:multiLevelType w:val="hybridMultilevel"/>
    <w:tmpl w:val="D5188A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DF"/>
    <w:rsid w:val="000156ED"/>
    <w:rsid w:val="000439B9"/>
    <w:rsid w:val="000E2CF9"/>
    <w:rsid w:val="000F4846"/>
    <w:rsid w:val="00110674"/>
    <w:rsid w:val="001D3511"/>
    <w:rsid w:val="001E7E2F"/>
    <w:rsid w:val="001F3F9E"/>
    <w:rsid w:val="00203D0F"/>
    <w:rsid w:val="002103C4"/>
    <w:rsid w:val="00240B74"/>
    <w:rsid w:val="00244EEC"/>
    <w:rsid w:val="00245AB8"/>
    <w:rsid w:val="002A12C5"/>
    <w:rsid w:val="002F0241"/>
    <w:rsid w:val="002F3BF5"/>
    <w:rsid w:val="003E4F74"/>
    <w:rsid w:val="004463D3"/>
    <w:rsid w:val="0046234E"/>
    <w:rsid w:val="0046510B"/>
    <w:rsid w:val="004C2BD9"/>
    <w:rsid w:val="004E2752"/>
    <w:rsid w:val="00510FD3"/>
    <w:rsid w:val="00527B5E"/>
    <w:rsid w:val="005806E4"/>
    <w:rsid w:val="005945C0"/>
    <w:rsid w:val="005A75D9"/>
    <w:rsid w:val="005E43F6"/>
    <w:rsid w:val="00600290"/>
    <w:rsid w:val="00615A2D"/>
    <w:rsid w:val="0069437E"/>
    <w:rsid w:val="006E0F0A"/>
    <w:rsid w:val="007D00BA"/>
    <w:rsid w:val="007E1ADF"/>
    <w:rsid w:val="007E39D1"/>
    <w:rsid w:val="00824F72"/>
    <w:rsid w:val="008B0E38"/>
    <w:rsid w:val="008D2B6A"/>
    <w:rsid w:val="008E225D"/>
    <w:rsid w:val="00950432"/>
    <w:rsid w:val="00976C77"/>
    <w:rsid w:val="00987905"/>
    <w:rsid w:val="009A1D43"/>
    <w:rsid w:val="009B73E5"/>
    <w:rsid w:val="009E0CFC"/>
    <w:rsid w:val="00A90D3F"/>
    <w:rsid w:val="00B35D7F"/>
    <w:rsid w:val="00B91612"/>
    <w:rsid w:val="00B96265"/>
    <w:rsid w:val="00BA585C"/>
    <w:rsid w:val="00BE7C5D"/>
    <w:rsid w:val="00C34A6E"/>
    <w:rsid w:val="00C65624"/>
    <w:rsid w:val="00C74405"/>
    <w:rsid w:val="00C77A59"/>
    <w:rsid w:val="00C86270"/>
    <w:rsid w:val="00CC2B55"/>
    <w:rsid w:val="00CC4610"/>
    <w:rsid w:val="00D10B5A"/>
    <w:rsid w:val="00D1669C"/>
    <w:rsid w:val="00D7498D"/>
    <w:rsid w:val="00DF7BE3"/>
    <w:rsid w:val="00E24F1F"/>
    <w:rsid w:val="00E56B8B"/>
    <w:rsid w:val="00E850B5"/>
    <w:rsid w:val="00EA06BC"/>
    <w:rsid w:val="00EB2F76"/>
    <w:rsid w:val="00EB5BF0"/>
    <w:rsid w:val="00EC619E"/>
    <w:rsid w:val="00F02965"/>
    <w:rsid w:val="00F06157"/>
    <w:rsid w:val="00F161C9"/>
    <w:rsid w:val="00F25D18"/>
    <w:rsid w:val="00F75208"/>
    <w:rsid w:val="00FD30A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C0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able heading"/>
    <w:qFormat/>
    <w:rsid w:val="00C77A59"/>
    <w:rPr>
      <w:rFonts w:ascii="Times New Roman" w:eastAsia="Times New Roman" w:hAnsi="Times New Roman"/>
      <w:sz w:val="24"/>
      <w:lang w:val="en-GB" w:eastAsia="en-US"/>
    </w:rPr>
  </w:style>
  <w:style w:type="paragraph" w:styleId="Heading1">
    <w:name w:val="heading 1"/>
    <w:basedOn w:val="Normal"/>
    <w:next w:val="Normal"/>
    <w:link w:val="Heading1Char"/>
    <w:qFormat/>
    <w:rsid w:val="00C77A59"/>
    <w:pPr>
      <w:keepNext/>
      <w:outlineLvl w:val="0"/>
    </w:pPr>
    <w:rPr>
      <w:b/>
      <w:lang w:val="en-NZ"/>
    </w:rPr>
  </w:style>
  <w:style w:type="paragraph" w:styleId="Heading2">
    <w:name w:val="heading 2"/>
    <w:basedOn w:val="Normal"/>
    <w:next w:val="Normal"/>
    <w:link w:val="Heading2Char"/>
    <w:uiPriority w:val="9"/>
    <w:unhideWhenUsed/>
    <w:qFormat/>
    <w:rsid w:val="00510FD3"/>
    <w:pPr>
      <w:keepNext/>
      <w:keepLines/>
      <w:spacing w:before="200" w:line="276" w:lineRule="auto"/>
      <w:outlineLvl w:val="1"/>
    </w:pPr>
    <w:rPr>
      <w:rFonts w:asciiTheme="majorHAnsi" w:eastAsiaTheme="majorEastAsia" w:hAnsiTheme="majorHAnsi" w:cstheme="majorBidi"/>
      <w:b/>
      <w:bCs/>
      <w:color w:val="4F81BD" w:themeColor="accent1"/>
      <w:sz w:val="26"/>
      <w:szCs w:val="26"/>
      <w:lang w:val="en-NZ"/>
    </w:rPr>
  </w:style>
  <w:style w:type="paragraph" w:styleId="Heading3">
    <w:name w:val="heading 3"/>
    <w:basedOn w:val="Normal"/>
    <w:next w:val="Normal"/>
    <w:link w:val="Heading3Char"/>
    <w:uiPriority w:val="9"/>
    <w:unhideWhenUsed/>
    <w:qFormat/>
    <w:rsid w:val="00510FD3"/>
    <w:pPr>
      <w:keepNext/>
      <w:keepLines/>
      <w:spacing w:before="200" w:line="276" w:lineRule="auto"/>
      <w:outlineLvl w:val="2"/>
    </w:pPr>
    <w:rPr>
      <w:rFonts w:asciiTheme="majorHAnsi" w:eastAsiaTheme="majorEastAsia" w:hAnsiTheme="majorHAnsi" w:cstheme="majorBidi"/>
      <w:b/>
      <w:bCs/>
      <w:color w:val="4F81BD" w:themeColor="accent1"/>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40" w:after="40"/>
    </w:pPr>
  </w:style>
  <w:style w:type="paragraph" w:styleId="Footer">
    <w:name w:val="footer"/>
    <w:basedOn w:val="Normal"/>
    <w:pPr>
      <w:tabs>
        <w:tab w:val="center" w:pos="4320"/>
        <w:tab w:val="right" w:pos="8640"/>
      </w:tabs>
    </w:pPr>
  </w:style>
  <w:style w:type="character" w:customStyle="1" w:styleId="Heading1Char">
    <w:name w:val="Heading 1 Char"/>
    <w:link w:val="Heading1"/>
    <w:rsid w:val="00C77A59"/>
    <w:rPr>
      <w:rFonts w:ascii="Times New Roman" w:eastAsia="Times New Roman" w:hAnsi="Times New Roman"/>
      <w:b/>
      <w:sz w:val="24"/>
      <w:lang w:eastAsia="en-US"/>
    </w:rPr>
  </w:style>
  <w:style w:type="character" w:customStyle="1" w:styleId="Heading2Char">
    <w:name w:val="Heading 2 Char"/>
    <w:basedOn w:val="DefaultParagraphFont"/>
    <w:link w:val="Heading2"/>
    <w:uiPriority w:val="9"/>
    <w:rsid w:val="00510FD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10FD3"/>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510F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FD3"/>
    <w:pPr>
      <w:ind w:left="720"/>
    </w:pPr>
    <w:rPr>
      <w:rFonts w:ascii="Calibri" w:eastAsiaTheme="minorHAnsi" w:hAnsi="Calibri"/>
      <w:sz w:val="22"/>
      <w:szCs w:val="22"/>
      <w:lang w:val="en-NZ"/>
    </w:rPr>
  </w:style>
  <w:style w:type="character" w:styleId="Hyperlink">
    <w:name w:val="Hyperlink"/>
    <w:basedOn w:val="DefaultParagraphFont"/>
    <w:uiPriority w:val="99"/>
    <w:unhideWhenUsed/>
    <w:rsid w:val="00510FD3"/>
    <w:rPr>
      <w:color w:val="0000FF" w:themeColor="hyperlink"/>
      <w:u w:val="single"/>
    </w:rPr>
  </w:style>
  <w:style w:type="paragraph" w:styleId="Subtitle">
    <w:name w:val="Subtitle"/>
    <w:basedOn w:val="Normal"/>
    <w:next w:val="Normal"/>
    <w:link w:val="SubtitleChar"/>
    <w:uiPriority w:val="11"/>
    <w:qFormat/>
    <w:rsid w:val="00203D0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03D0F"/>
    <w:rPr>
      <w:rFonts w:asciiTheme="majorHAnsi" w:eastAsiaTheme="majorEastAsia" w:hAnsiTheme="majorHAnsi" w:cstheme="majorBidi"/>
      <w:i/>
      <w:iCs/>
      <w:color w:val="4F81BD" w:themeColor="accent1"/>
      <w:spacing w:val="15"/>
      <w:sz w:val="24"/>
      <w:szCs w:val="24"/>
      <w:lang w:val="en-GB" w:eastAsia="en-US"/>
    </w:rPr>
  </w:style>
  <w:style w:type="character" w:styleId="CommentReference">
    <w:name w:val="annotation reference"/>
    <w:basedOn w:val="DefaultParagraphFont"/>
    <w:uiPriority w:val="99"/>
    <w:semiHidden/>
    <w:unhideWhenUsed/>
    <w:rsid w:val="00600290"/>
    <w:rPr>
      <w:sz w:val="16"/>
      <w:szCs w:val="16"/>
    </w:rPr>
  </w:style>
  <w:style w:type="paragraph" w:styleId="CommentText">
    <w:name w:val="annotation text"/>
    <w:basedOn w:val="Normal"/>
    <w:link w:val="CommentTextChar"/>
    <w:uiPriority w:val="99"/>
    <w:semiHidden/>
    <w:unhideWhenUsed/>
    <w:rsid w:val="00600290"/>
    <w:rPr>
      <w:sz w:val="20"/>
    </w:rPr>
  </w:style>
  <w:style w:type="character" w:customStyle="1" w:styleId="CommentTextChar">
    <w:name w:val="Comment Text Char"/>
    <w:basedOn w:val="DefaultParagraphFont"/>
    <w:link w:val="CommentText"/>
    <w:uiPriority w:val="99"/>
    <w:semiHidden/>
    <w:rsid w:val="00600290"/>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0290"/>
    <w:rPr>
      <w:b/>
      <w:bCs/>
    </w:rPr>
  </w:style>
  <w:style w:type="character" w:customStyle="1" w:styleId="CommentSubjectChar">
    <w:name w:val="Comment Subject Char"/>
    <w:basedOn w:val="CommentTextChar"/>
    <w:link w:val="CommentSubject"/>
    <w:uiPriority w:val="99"/>
    <w:semiHidden/>
    <w:rsid w:val="00600290"/>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600290"/>
    <w:rPr>
      <w:rFonts w:ascii="Tahoma" w:hAnsi="Tahoma" w:cs="Tahoma"/>
      <w:sz w:val="16"/>
      <w:szCs w:val="16"/>
    </w:rPr>
  </w:style>
  <w:style w:type="character" w:customStyle="1" w:styleId="BalloonTextChar">
    <w:name w:val="Balloon Text Char"/>
    <w:basedOn w:val="DefaultParagraphFont"/>
    <w:link w:val="BalloonText"/>
    <w:uiPriority w:val="99"/>
    <w:semiHidden/>
    <w:rsid w:val="00600290"/>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able heading"/>
    <w:qFormat/>
    <w:rsid w:val="00C77A59"/>
    <w:rPr>
      <w:rFonts w:ascii="Times New Roman" w:eastAsia="Times New Roman" w:hAnsi="Times New Roman"/>
      <w:sz w:val="24"/>
      <w:lang w:val="en-GB" w:eastAsia="en-US"/>
    </w:rPr>
  </w:style>
  <w:style w:type="paragraph" w:styleId="Heading1">
    <w:name w:val="heading 1"/>
    <w:basedOn w:val="Normal"/>
    <w:next w:val="Normal"/>
    <w:link w:val="Heading1Char"/>
    <w:qFormat/>
    <w:rsid w:val="00C77A59"/>
    <w:pPr>
      <w:keepNext/>
      <w:outlineLvl w:val="0"/>
    </w:pPr>
    <w:rPr>
      <w:b/>
      <w:lang w:val="en-NZ"/>
    </w:rPr>
  </w:style>
  <w:style w:type="paragraph" w:styleId="Heading2">
    <w:name w:val="heading 2"/>
    <w:basedOn w:val="Normal"/>
    <w:next w:val="Normal"/>
    <w:link w:val="Heading2Char"/>
    <w:uiPriority w:val="9"/>
    <w:unhideWhenUsed/>
    <w:qFormat/>
    <w:rsid w:val="00510FD3"/>
    <w:pPr>
      <w:keepNext/>
      <w:keepLines/>
      <w:spacing w:before="200" w:line="276" w:lineRule="auto"/>
      <w:outlineLvl w:val="1"/>
    </w:pPr>
    <w:rPr>
      <w:rFonts w:asciiTheme="majorHAnsi" w:eastAsiaTheme="majorEastAsia" w:hAnsiTheme="majorHAnsi" w:cstheme="majorBidi"/>
      <w:b/>
      <w:bCs/>
      <w:color w:val="4F81BD" w:themeColor="accent1"/>
      <w:sz w:val="26"/>
      <w:szCs w:val="26"/>
      <w:lang w:val="en-NZ"/>
    </w:rPr>
  </w:style>
  <w:style w:type="paragraph" w:styleId="Heading3">
    <w:name w:val="heading 3"/>
    <w:basedOn w:val="Normal"/>
    <w:next w:val="Normal"/>
    <w:link w:val="Heading3Char"/>
    <w:uiPriority w:val="9"/>
    <w:unhideWhenUsed/>
    <w:qFormat/>
    <w:rsid w:val="00510FD3"/>
    <w:pPr>
      <w:keepNext/>
      <w:keepLines/>
      <w:spacing w:before="200" w:line="276" w:lineRule="auto"/>
      <w:outlineLvl w:val="2"/>
    </w:pPr>
    <w:rPr>
      <w:rFonts w:asciiTheme="majorHAnsi" w:eastAsiaTheme="majorEastAsia" w:hAnsiTheme="majorHAnsi" w:cstheme="majorBidi"/>
      <w:b/>
      <w:bCs/>
      <w:color w:val="4F81BD" w:themeColor="accent1"/>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40" w:after="40"/>
    </w:pPr>
  </w:style>
  <w:style w:type="paragraph" w:styleId="Footer">
    <w:name w:val="footer"/>
    <w:basedOn w:val="Normal"/>
    <w:pPr>
      <w:tabs>
        <w:tab w:val="center" w:pos="4320"/>
        <w:tab w:val="right" w:pos="8640"/>
      </w:tabs>
    </w:pPr>
  </w:style>
  <w:style w:type="character" w:customStyle="1" w:styleId="Heading1Char">
    <w:name w:val="Heading 1 Char"/>
    <w:link w:val="Heading1"/>
    <w:rsid w:val="00C77A59"/>
    <w:rPr>
      <w:rFonts w:ascii="Times New Roman" w:eastAsia="Times New Roman" w:hAnsi="Times New Roman"/>
      <w:b/>
      <w:sz w:val="24"/>
      <w:lang w:eastAsia="en-US"/>
    </w:rPr>
  </w:style>
  <w:style w:type="character" w:customStyle="1" w:styleId="Heading2Char">
    <w:name w:val="Heading 2 Char"/>
    <w:basedOn w:val="DefaultParagraphFont"/>
    <w:link w:val="Heading2"/>
    <w:uiPriority w:val="9"/>
    <w:rsid w:val="00510FD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10FD3"/>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510F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FD3"/>
    <w:pPr>
      <w:ind w:left="720"/>
    </w:pPr>
    <w:rPr>
      <w:rFonts w:ascii="Calibri" w:eastAsiaTheme="minorHAnsi" w:hAnsi="Calibri"/>
      <w:sz w:val="22"/>
      <w:szCs w:val="22"/>
      <w:lang w:val="en-NZ"/>
    </w:rPr>
  </w:style>
  <w:style w:type="character" w:styleId="Hyperlink">
    <w:name w:val="Hyperlink"/>
    <w:basedOn w:val="DefaultParagraphFont"/>
    <w:uiPriority w:val="99"/>
    <w:unhideWhenUsed/>
    <w:rsid w:val="00510FD3"/>
    <w:rPr>
      <w:color w:val="0000FF" w:themeColor="hyperlink"/>
      <w:u w:val="single"/>
    </w:rPr>
  </w:style>
  <w:style w:type="paragraph" w:styleId="Subtitle">
    <w:name w:val="Subtitle"/>
    <w:basedOn w:val="Normal"/>
    <w:next w:val="Normal"/>
    <w:link w:val="SubtitleChar"/>
    <w:uiPriority w:val="11"/>
    <w:qFormat/>
    <w:rsid w:val="00203D0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03D0F"/>
    <w:rPr>
      <w:rFonts w:asciiTheme="majorHAnsi" w:eastAsiaTheme="majorEastAsia" w:hAnsiTheme="majorHAnsi" w:cstheme="majorBidi"/>
      <w:i/>
      <w:iCs/>
      <w:color w:val="4F81BD" w:themeColor="accent1"/>
      <w:spacing w:val="15"/>
      <w:sz w:val="24"/>
      <w:szCs w:val="24"/>
      <w:lang w:val="en-GB" w:eastAsia="en-US"/>
    </w:rPr>
  </w:style>
  <w:style w:type="character" w:styleId="CommentReference">
    <w:name w:val="annotation reference"/>
    <w:basedOn w:val="DefaultParagraphFont"/>
    <w:uiPriority w:val="99"/>
    <w:semiHidden/>
    <w:unhideWhenUsed/>
    <w:rsid w:val="00600290"/>
    <w:rPr>
      <w:sz w:val="16"/>
      <w:szCs w:val="16"/>
    </w:rPr>
  </w:style>
  <w:style w:type="paragraph" w:styleId="CommentText">
    <w:name w:val="annotation text"/>
    <w:basedOn w:val="Normal"/>
    <w:link w:val="CommentTextChar"/>
    <w:uiPriority w:val="99"/>
    <w:semiHidden/>
    <w:unhideWhenUsed/>
    <w:rsid w:val="00600290"/>
    <w:rPr>
      <w:sz w:val="20"/>
    </w:rPr>
  </w:style>
  <w:style w:type="character" w:customStyle="1" w:styleId="CommentTextChar">
    <w:name w:val="Comment Text Char"/>
    <w:basedOn w:val="DefaultParagraphFont"/>
    <w:link w:val="CommentText"/>
    <w:uiPriority w:val="99"/>
    <w:semiHidden/>
    <w:rsid w:val="00600290"/>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0290"/>
    <w:rPr>
      <w:b/>
      <w:bCs/>
    </w:rPr>
  </w:style>
  <w:style w:type="character" w:customStyle="1" w:styleId="CommentSubjectChar">
    <w:name w:val="Comment Subject Char"/>
    <w:basedOn w:val="CommentTextChar"/>
    <w:link w:val="CommentSubject"/>
    <w:uiPriority w:val="99"/>
    <w:semiHidden/>
    <w:rsid w:val="00600290"/>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600290"/>
    <w:rPr>
      <w:rFonts w:ascii="Tahoma" w:hAnsi="Tahoma" w:cs="Tahoma"/>
      <w:sz w:val="16"/>
      <w:szCs w:val="16"/>
    </w:rPr>
  </w:style>
  <w:style w:type="character" w:customStyle="1" w:styleId="BalloonTextChar">
    <w:name w:val="Balloon Text Char"/>
    <w:basedOn w:val="DefaultParagraphFont"/>
    <w:link w:val="BalloonText"/>
    <w:uiPriority w:val="99"/>
    <w:semiHidden/>
    <w:rsid w:val="00600290"/>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bie.govt.nz/what-we-do/workplace-health-and-safety-reform/development-of-regulations-to-support-the-new-health-and-safety-at-work-act/exposure-draft-health-and-safety-at-work-infringement-offences-and-fees-regulat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govt.nz/worksafe/about/reform/reform-bill-key-chang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usiness.govt.nz/worksafe/about/reform/reform-bill-update" TargetMode="External"/><Relationship Id="rId1" Type="http://schemas.openxmlformats.org/officeDocument/2006/relationships/hyperlink" Target="http://www.sportnz.org.nz/managing-sport/tools-and-resources/legal-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nformation%20Technology\Global%20PC%20Settings\Word%202007%20Templates\SPORT%20NZ\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CC69DB6260531A4994FD73D8F76A2029" ma:contentTypeVersion="39" ma:contentTypeDescription="Standard Electronic Document" ma:contentTypeScope="" ma:versionID="ad95bce836a623003485a87ed0259c95">
  <xsd:schema xmlns:xsd="http://www.w3.org/2001/XMLSchema" xmlns:xs="http://www.w3.org/2001/XMLSchema" xmlns:p="http://schemas.microsoft.com/office/2006/metadata/properties" xmlns:ns2="e21cbe00-2104-4159-b9b9-bd54555d1bf2" targetNamespace="http://schemas.microsoft.com/office/2006/metadata/properties" ma:root="true" ma:fieldsID="be6c7680e00921336e46965eec78337a" ns2:_="">
    <xsd:import namespace="e21cbe00-2104-4159-b9b9-bd54555d1bf2"/>
    <xsd:element name="properties">
      <xsd:complexType>
        <xsd:sequence>
          <xsd:element name="documentManagement">
            <xsd:complexType>
              <xsd:all>
                <xsd:element ref="ns2:DocumentType"/>
                <xsd:element ref="ns2:CategoryValue" minOccurs="0"/>
                <xsd:element ref="ns2:Case" minOccurs="0"/>
                <xsd:element ref="ns2:CategoryName" minOccurs="0"/>
                <xsd:element ref="ns2:Volume" minOccurs="0"/>
                <xsd:element ref="ns2:Narrative" minOccurs="0"/>
                <xsd:element ref="ns2:PRA_Type" minOccurs="0"/>
                <xsd:element ref="ns2:Aggregation_Status" minOccurs="0"/>
                <xsd:element ref="ns2:RecordID" minOccurs="0"/>
                <xsd:element ref="ns2:Record_Type" minOccurs="0"/>
                <xsd:element ref="ns2:Read_Only_Status" minOccurs="0"/>
                <xsd:element ref="ns2:Authoritative_Version" minOccurs="0"/>
                <xsd:element ref="ns2:PRA_Date_Trigger" minOccurs="0"/>
                <xsd:element ref="ns2:PRA_Date_Disposal" minOccurs="0"/>
                <xsd:element ref="ns2:PRA_Text_3" minOccurs="0"/>
                <xsd:element ref="ns2:PRA_Text_4" minOccurs="0"/>
                <xsd:element ref="ns2:PRA_Text_5" minOccurs="0"/>
                <xsd:element ref="ns2:PRA_Date_1" minOccurs="0"/>
                <xsd:element ref="ns2:PRA_Date_2" minOccurs="0"/>
                <xsd:element ref="ns2:PRA_Date_3" minOccurs="0"/>
                <xsd:element ref="ns2:PRA_Text_1" minOccurs="0"/>
                <xsd:element ref="ns2:PRA_Text_2" minOccurs="0"/>
                <xsd:element ref="ns2:Key_x0020_Words" minOccurs="0"/>
                <xsd:element ref="ns2:Related_People" minOccurs="0"/>
                <xsd:element ref="ns2:Function" minOccurs="0"/>
                <xsd:element ref="ns2:Know-How_Type" minOccurs="0"/>
                <xsd:element ref="ns2:Activity" minOccurs="0"/>
                <xsd:element ref="ns2:FunctionGroup" minOccurs="0"/>
                <xsd:element ref="ns2:Target_Audience" minOccurs="0"/>
                <xsd:element ref="ns2:Project" minOccurs="0"/>
                <xsd:element ref="ns2:Subactivity" minOccurs="0"/>
                <xsd:element ref="ns2:Original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CategoryValue" ma:index="2" nillable="true" ma:displayName="Category" ma:format="Dropdown" ma:internalName="CategoryValue" ma:readOnly="false">
      <xsd:simpleType>
        <xsd:restriction base="dms:Choice">
          <xsd:enumeration value="Induction"/>
          <xsd:enumeration value="Exit Interview"/>
          <xsd:enumeration value="Employment Contracts"/>
        </xsd:restriction>
      </xsd:simpleType>
    </xsd:element>
    <xsd:element name="Case" ma:index="3" nillable="true" ma:displayName="Case" ma:format="Dropdown" ma:internalName="Case" ma:readOnly="false">
      <xsd:simpleType>
        <xsd:restriction base="dms:Choice">
          <xsd:enumeration value="CEO Recruitment"/>
          <xsd:enumeration value="Exit Interview"/>
          <xsd:enumeration value="Employment Contracts"/>
          <xsd:enumeration value="CVs"/>
          <xsd:enumeration value="Performance Management"/>
          <xsd:enumeration value="Job Adverts"/>
          <xsd:enumeration value="Job Descriptions"/>
          <xsd:enumeration value="Criminal Record Checks"/>
          <xsd:enumeration value="Remuneration"/>
          <xsd:enumeration value="NA"/>
        </xsd:restriction>
      </xsd:simpleType>
    </xsd:element>
    <xsd:element name="CategoryName" ma:index="4" nillable="true" ma:displayName="Entity" ma:default="Sport NZ" ma:format="Dropdown" ma:internalName="CategoryName" ma:readOnly="false">
      <xsd:simpleType>
        <xsd:restriction base="dms:Choice">
          <xsd:enumeration value="HPSNZ"/>
          <xsd:enumeration value="Sport NZ"/>
          <xsd:enumeration value="Sport NZ Group"/>
        </xsd:restriction>
      </xsd:simpleType>
    </xsd:element>
    <xsd:element name="Volume" ma:index="5" nillable="true" ma:displayName="Year" ma:default="2015" ma:format="Dropdown" ma:internalName="Volume">
      <xsd:simpleType>
        <xsd:restriction base="dms:Choice">
          <xsd:enumeration value="2017"/>
          <xsd:enumeration value="2016"/>
          <xsd:enumeration value="2015"/>
          <xsd:enumeration value="2014"/>
          <xsd:enumeration value="2013"/>
          <xsd:enumeration value="2012"/>
          <xsd:enumeration value="2011 and prior"/>
        </xsd:restriction>
      </xsd:simpleType>
    </xsd:element>
    <xsd:element name="Narrative" ma:index="6" nillable="true" ma:displayName="Narrative" ma:internalName="Narrative">
      <xsd:simpleType>
        <xsd:restriction base="dms:Note">
          <xsd:maxLength value="255"/>
        </xsd:restriction>
      </xsd:simpleType>
    </xsd:element>
    <xsd:element name="PRA_Type" ma:index="8" nillable="true" ma:displayName="PRA Type" ma:default="Doc" ma:hidden="true" ma:internalName="PRAType">
      <xsd:simpleType>
        <xsd:restriction base="dms:Text"/>
      </xsd:simpleType>
    </xsd:element>
    <xsd:element name="Aggregation_Status" ma:index="9"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0" nillable="true" ma:displayName="RecordID" ma:hidden="true" ma:internalName="RecordID">
      <xsd:simpleType>
        <xsd:restriction base="dms:Text"/>
      </xsd:simpleType>
    </xsd:element>
    <xsd:element name="Record_Type" ma:index="11"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2"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3" nillable="true" ma:displayName="Authoritative Version" ma:default="0" ma:hidden="true" ma:internalName="AuthoritativeVersion">
      <xsd:simpleType>
        <xsd:restriction base="dms:Boolean"/>
      </xsd:simpleType>
    </xsd:element>
    <xsd:element name="PRA_Date_Trigger" ma:index="14" nillable="true" ma:displayName="PRA Date Trigger" ma:format="DateTime" ma:hidden="true" ma:internalName="PraDateTrigger">
      <xsd:simpleType>
        <xsd:restriction base="dms:DateTime"/>
      </xsd:simpleType>
    </xsd:element>
    <xsd:element name="PRA_Date_Disposal" ma:index="15" nillable="true" ma:displayName="PRA Date Disposal" ma:format="DateTime" ma:hidden="true" ma:internalName="PraDateDisposal">
      <xsd:simpleType>
        <xsd:restriction base="dms:DateTime"/>
      </xsd:simpleType>
    </xsd:element>
    <xsd:element name="PRA_Text_3" ma:index="16" nillable="true" ma:displayName="PRA Text 3" ma:hidden="true" ma:internalName="PraText3" ma:readOnly="false">
      <xsd:simpleType>
        <xsd:restriction base="dms:Text"/>
      </xsd:simpleType>
    </xsd:element>
    <xsd:element name="PRA_Text_4" ma:index="17" nillable="true" ma:displayName="PRA Text 4" ma:hidden="true" ma:internalName="PraText4" ma:readOnly="false">
      <xsd:simpleType>
        <xsd:restriction base="dms:Text"/>
      </xsd:simpleType>
    </xsd:element>
    <xsd:element name="PRA_Text_5" ma:index="18" nillable="true" ma:displayName="PRA Text 5" ma:hidden="true" ma:internalName="PraText5" ma:readOnly="false">
      <xsd:simpleType>
        <xsd:restriction base="dms:Text"/>
      </xsd:simpleType>
    </xsd:element>
    <xsd:element name="PRA_Date_1" ma:index="19" nillable="true" ma:displayName="PRA Date 1" ma:format="DateTime" ma:hidden="true" ma:internalName="PraDate1" ma:readOnly="false">
      <xsd:simpleType>
        <xsd:restriction base="dms:DateTime"/>
      </xsd:simpleType>
    </xsd:element>
    <xsd:element name="PRA_Date_2" ma:index="20" nillable="true" ma:displayName="PRA Date 2" ma:format="DateTime" ma:hidden="true" ma:internalName="PraDate2" ma:readOnly="false">
      <xsd:simpleType>
        <xsd:restriction base="dms:DateTime"/>
      </xsd:simpleType>
    </xsd:element>
    <xsd:element name="PRA_Date_3" ma:index="21" nillable="true" ma:displayName="PRA Date 3" ma:format="DateTime" ma:hidden="true" ma:internalName="PraDate3" ma:readOnly="false">
      <xsd:simpleType>
        <xsd:restriction base="dms:DateTime"/>
      </xsd:simpleType>
    </xsd:element>
    <xsd:element name="PRA_Text_1" ma:index="22" nillable="true" ma:displayName="PRA Text 1" ma:hidden="true" ma:internalName="PraText1" ma:readOnly="false">
      <xsd:simpleType>
        <xsd:restriction base="dms:Text"/>
      </xsd:simpleType>
    </xsd:element>
    <xsd:element name="PRA_Text_2" ma:index="23" nillable="true" ma:displayName="PRA Text 2" ma:hidden="true" ma:internalName="PraText2" ma:readOnly="false">
      <xsd:simpleType>
        <xsd:restriction base="dms:Text"/>
      </xsd:simpleType>
    </xsd:element>
    <xsd:element name="Key_x0020_Words" ma:index="2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Related_People" ma:index="25"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26" nillable="true" ma:displayName="Function" ma:default="Business Improvement" ma:hidden="true" ma:internalName="Function" ma:readOnly="false">
      <xsd:simpleType>
        <xsd:restriction base="dms:Text">
          <xsd:maxLength value="255"/>
        </xsd:restriction>
      </xsd:simpleType>
    </xsd:element>
    <xsd:element name="Know-How_Type" ma:index="2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Activity" ma:index="28" nillable="true" ma:displayName="Activity" ma:default="BI Human Resources" ma:hidden="true" ma:internalName="Activity" ma:readOnly="false">
      <xsd:simpleType>
        <xsd:restriction base="dms:Text">
          <xsd:maxLength value="255"/>
        </xsd:restriction>
      </xsd:simpleType>
    </xsd:element>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Target_Audience" ma:index="30"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Subactivity" ma:index="3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Original_Document" ma:index="36" nillable="true" ma:displayName="Original Document" ma:hidden="true" ma:internalName="OriginalDocu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ity xmlns="e21cbe00-2104-4159-b9b9-bd54555d1bf2">BI Human Resources</Activity>
    <Subactivity xmlns="e21cbe00-2104-4159-b9b9-bd54555d1bf2">NA</Subactivity>
    <Case xmlns="e21cbe00-2104-4159-b9b9-bd54555d1bf2">NA</Case>
    <Project xmlns="e21cbe00-2104-4159-b9b9-bd54555d1bf2">NA</Project>
    <FunctionGroup xmlns="e21cbe00-2104-4159-b9b9-bd54555d1bf2">NA</FunctionGroup>
    <DocumentType xmlns="e21cbe00-2104-4159-b9b9-bd54555d1bf2">Knowledge, reference</DocumentType>
    <Function xmlns="e21cbe00-2104-4159-b9b9-bd54555d1bf2">Business Improvement</Function>
    <CategoryValue xmlns="e21cbe00-2104-4159-b9b9-bd54555d1bf2">Induction</CategoryValue>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Volume xmlns="e21cbe00-2104-4159-b9b9-bd54555d1bf2">2015</Volume>
    <PRA_Date_3 xmlns="e21cbe00-2104-4159-b9b9-bd54555d1bf2" xsi:nil="true"/>
    <Authoritative_Version xmlns="e21cbe00-2104-4159-b9b9-bd54555d1bf2">false</Authoritative_Version>
    <PRA_Date_Disposal xmlns="e21cbe00-2104-4159-b9b9-bd54555d1bf2" xsi:nil="true"/>
    <PRA_Text_3 xmlns="e21cbe00-2104-4159-b9b9-bd54555d1bf2" xsi:nil="true"/>
    <Narrative xmlns="e21cbe00-2104-4159-b9b9-bd54555d1bf2" xsi:nil="true"/>
    <Know-How_Type xmlns="e21cbe00-2104-4159-b9b9-bd54555d1bf2">NA</Know-How_Type>
    <CategoryName xmlns="e21cbe00-2104-4159-b9b9-bd54555d1bf2">Sport NZ Group</CategoryName>
    <Key_x0020_Words xmlns="e21cbe00-2104-4159-b9b9-bd54555d1bf2"/>
    <RecordID xmlns="e21cbe00-2104-4159-b9b9-bd54555d1bf2">725453</RecordID>
    <PRA_Date_1 xmlns="e21cbe00-2104-4159-b9b9-bd54555d1bf2" xsi:nil="true"/>
    <PRA_Text_2 xmlns="e21cbe00-2104-4159-b9b9-bd54555d1bf2" xsi:nil="true"/>
    <Original_Document xmlns="e21cbe00-2104-4159-b9b9-bd54555d1bf2" xsi:nil="true"/>
    <PRA_Text_5 xmlns="e21cbe00-2104-4159-b9b9-bd54555d1bf2" xsi:nil="true"/>
    <PRA_Text_4 xmlns="e21cbe00-2104-4159-b9b9-bd54555d1bf2" xsi:nil="true"/>
    <PRA_Text_1 xmlns="e21cbe00-2104-4159-b9b9-bd54555d1bf2" xsi:nil="true"/>
    <Record_Type xmlns="e21cbe00-2104-4159-b9b9-bd54555d1bf2">Normal</Record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6A64C-5520-4A9C-B180-506DEE12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87C79-DD85-41A4-8BF5-52F752C8F8B6}">
  <ds:schemaRefs>
    <ds:schemaRef ds:uri="e21cbe00-2104-4159-b9b9-bd54555d1bf2"/>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26DA4B6-6956-42CF-89E8-238954B2B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Colour</Template>
  <TotalTime>0</TotalTime>
  <Pages>2</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2015 HSW Reform Bill at a glance</vt:lpstr>
    </vt:vector>
  </TitlesOfParts>
  <Company>Sport New Zealand</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HSW Reform Bill at a glance</dc:title>
  <dc:creator>annasa</dc:creator>
  <cp:lastModifiedBy>trinap</cp:lastModifiedBy>
  <cp:revision>2</cp:revision>
  <cp:lastPrinted>2015-08-02T22:23:00Z</cp:lastPrinted>
  <dcterms:created xsi:type="dcterms:W3CDTF">2015-08-19T22:57:00Z</dcterms:created>
  <dcterms:modified xsi:type="dcterms:W3CDTF">2015-08-19T22:57:00Z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0x010100AAAAAAAAAAAAAAAAAAAAAAAAAAAAAA0200CC69DB6260531A4994FD73D8F76A2029</vt:lpwstr>
  </property>
  <property fmtid="{D5CDD505-2E9C-101B-9397-08002B2CF9AE}" pid="3" name="Order">
    <vt:r8>1700</vt:r8>
  </property>
  <property fmtid="{D5CDD505-2E9C-101B-9397-08002B2CF9AE}" pid="4" name="_ModerationStatus">
    <vt:lpwstr>0</vt:lpwstr>
  </property>
</Properties>
</file>