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3937" w14:textId="7E761E7A" w:rsidR="00CF58D4" w:rsidRDefault="0038158A" w:rsidP="00CF58D4">
      <w:r>
        <w:rPr>
          <w:rFonts w:ascii="Arial" w:hAnsi="Arial" w:cs="Arial"/>
          <w:color w:val="001489"/>
        </w:rPr>
        <w:pict w14:anchorId="28C0908C">
          <v:rect id="_x0000_i1025" style="width:0;height:1.5pt" o:hralign="center" o:hrstd="t" o:hr="t" fillcolor="#a0a0a0" stroked="f"/>
        </w:pict>
      </w:r>
    </w:p>
    <w:p w14:paraId="78DAA567" w14:textId="77777777" w:rsidR="00CF58D4" w:rsidRDefault="00CF58D4" w:rsidP="00CF58D4">
      <w:pPr>
        <w:pStyle w:val="Heading1"/>
      </w:pPr>
      <w:r>
        <w:t>FINANCIAL POLICIES AND PROCEDURES</w:t>
      </w:r>
    </w:p>
    <w:p w14:paraId="770869FC" w14:textId="5926A5A1" w:rsidR="00CF58D4" w:rsidRDefault="0038158A" w:rsidP="00CF58D4">
      <w:r>
        <w:rPr>
          <w:rFonts w:ascii="Arial" w:hAnsi="Arial" w:cs="Arial"/>
          <w:color w:val="001489"/>
        </w:rPr>
        <w:pict w14:anchorId="5A71C1DA">
          <v:rect id="_x0000_i1026" style="width:0;height:1.5pt" o:hralign="center" o:hrstd="t" o:hr="t" fillcolor="#a0a0a0" stroked="f"/>
        </w:pict>
      </w:r>
    </w:p>
    <w:p w14:paraId="18D6E0CF" w14:textId="5BEB2EFF" w:rsidR="00CF58D4" w:rsidRDefault="00CF58D4" w:rsidP="00CF58D4">
      <w:pPr>
        <w:pStyle w:val="Heading2"/>
      </w:pPr>
      <w:r>
        <w:br/>
        <w:t>SECTION 6:</w:t>
      </w:r>
      <w:r>
        <w:tab/>
        <w:t>TREASURY</w:t>
      </w:r>
    </w:p>
    <w:p w14:paraId="067B2D36" w14:textId="77777777" w:rsidR="00CF58D4" w:rsidRDefault="00CF58D4" w:rsidP="00CF58D4">
      <w:pPr>
        <w:pStyle w:val="Heading2"/>
      </w:pPr>
      <w:r>
        <w:t>POLICY 1:</w:t>
      </w:r>
      <w:r>
        <w:tab/>
        <w:t>BANK ACCOUNTS</w:t>
      </w:r>
    </w:p>
    <w:p w14:paraId="1B0D9127" w14:textId="6876D828" w:rsidR="00CF58D4" w:rsidRDefault="00CF58D4" w:rsidP="00CF58D4">
      <w:pPr>
        <w:pStyle w:val="Heading3"/>
      </w:pPr>
      <w:r>
        <w:br/>
        <w:t>Policy Rationale</w:t>
      </w:r>
      <w:r>
        <w:tab/>
      </w:r>
    </w:p>
    <w:p w14:paraId="3E821316" w14:textId="764D6930" w:rsidR="00CF58D4" w:rsidRDefault="00CF58D4" w:rsidP="00CF58D4">
      <w:r>
        <w:br/>
      </w:r>
      <w:r w:rsidRPr="00CF58D4">
        <w:rPr>
          <w:rFonts w:cstheme="minorHAnsi"/>
          <w:color w:val="001489"/>
        </w:rPr>
        <w:t>[organisation]</w:t>
      </w:r>
      <w:r>
        <w:t xml:space="preserve"> will ensure its bank accounts are operated in a manner that ensures controls are in place over cash funds and the authorisation of any banking transactions. </w:t>
      </w:r>
    </w:p>
    <w:p w14:paraId="4996CBB0" w14:textId="77777777" w:rsidR="00CF58D4" w:rsidRDefault="00CF58D4" w:rsidP="00CF58D4">
      <w:pPr>
        <w:pStyle w:val="Heading3"/>
      </w:pPr>
      <w:r>
        <w:t>Policy Statement(s)</w:t>
      </w:r>
      <w:r>
        <w:tab/>
      </w:r>
    </w:p>
    <w:p w14:paraId="1F22FBC0" w14:textId="2B8E12DC" w:rsidR="00CF58D4" w:rsidRDefault="00CF58D4" w:rsidP="00CF58D4">
      <w:r>
        <w:br/>
      </w:r>
      <w:r w:rsidRPr="00CF58D4">
        <w:rPr>
          <w:rFonts w:cstheme="minorHAnsi"/>
          <w:color w:val="001489"/>
        </w:rPr>
        <w:t>[organisation]</w:t>
      </w:r>
      <w:r>
        <w:t>’s bank accounts will be operated in accordance with the following:</w:t>
      </w:r>
    </w:p>
    <w:p w14:paraId="1C20B68A" w14:textId="0D591FFB" w:rsidR="00CF58D4" w:rsidRDefault="00CF58D4" w:rsidP="00CF58D4">
      <w:pPr>
        <w:pStyle w:val="ListParagraph"/>
        <w:numPr>
          <w:ilvl w:val="0"/>
          <w:numId w:val="2"/>
        </w:numPr>
      </w:pPr>
      <w:r>
        <w:t xml:space="preserve">New bank accounts can only be opened following approval from </w:t>
      </w:r>
      <w:r w:rsidRPr="00CF58D4">
        <w:rPr>
          <w:rFonts w:cstheme="minorHAnsi"/>
          <w:color w:val="001489"/>
        </w:rPr>
        <w:t>[organisation]</w:t>
      </w:r>
      <w:r>
        <w:t xml:space="preserve">’s </w:t>
      </w:r>
      <w:proofErr w:type="gramStart"/>
      <w:r>
        <w:t>Board</w:t>
      </w:r>
      <w:proofErr w:type="gramEnd"/>
    </w:p>
    <w:p w14:paraId="2E07920B" w14:textId="4E83B2BE" w:rsidR="00CF58D4" w:rsidRDefault="00CF58D4" w:rsidP="00CF58D4">
      <w:pPr>
        <w:pStyle w:val="ListParagraph"/>
        <w:numPr>
          <w:ilvl w:val="0"/>
          <w:numId w:val="2"/>
        </w:numPr>
      </w:pPr>
      <w:r>
        <w:t xml:space="preserve">Any amendments to bank daily approval limits and / or overnight clearing facilities may only be actioned following approval from </w:t>
      </w:r>
      <w:r w:rsidRPr="00CF58D4">
        <w:rPr>
          <w:rFonts w:cstheme="minorHAnsi"/>
          <w:color w:val="001489"/>
        </w:rPr>
        <w:t>[organisation]</w:t>
      </w:r>
      <w:r>
        <w:t xml:space="preserve">’s </w:t>
      </w:r>
      <w:proofErr w:type="gramStart"/>
      <w:r>
        <w:t>Board</w:t>
      </w:r>
      <w:proofErr w:type="gramEnd"/>
    </w:p>
    <w:p w14:paraId="737A7587" w14:textId="22D7AD5E" w:rsidR="00CF58D4" w:rsidRDefault="00CF58D4" w:rsidP="00CF58D4">
      <w:pPr>
        <w:pStyle w:val="ListParagraph"/>
        <w:numPr>
          <w:ilvl w:val="0"/>
          <w:numId w:val="2"/>
        </w:numPr>
      </w:pPr>
      <w:r>
        <w:t xml:space="preserve">Signatories for the bank accounts must be approved by the </w:t>
      </w:r>
      <w:r w:rsidRPr="00CF58D4">
        <w:rPr>
          <w:rFonts w:cstheme="minorHAnsi"/>
          <w:color w:val="001489"/>
        </w:rPr>
        <w:t>[organisation]</w:t>
      </w:r>
      <w:r>
        <w:t xml:space="preserve">’s </w:t>
      </w:r>
      <w:proofErr w:type="gramStart"/>
      <w:r>
        <w:t>Board</w:t>
      </w:r>
      <w:proofErr w:type="gramEnd"/>
    </w:p>
    <w:p w14:paraId="3BFBAB76" w14:textId="0F53D151" w:rsidR="00CF58D4" w:rsidRDefault="00CF58D4" w:rsidP="00CF58D4">
      <w:pPr>
        <w:pStyle w:val="ListParagraph"/>
        <w:numPr>
          <w:ilvl w:val="0"/>
          <w:numId w:val="2"/>
        </w:numPr>
      </w:pPr>
      <w:r>
        <w:t xml:space="preserve">Two signatories are required to authorise any payments from the organisation’s bank accounts, including both electronic and manual </w:t>
      </w:r>
      <w:proofErr w:type="gramStart"/>
      <w:r>
        <w:t>payments</w:t>
      </w:r>
      <w:proofErr w:type="gramEnd"/>
    </w:p>
    <w:p w14:paraId="40EDAB9A" w14:textId="3536F8F1" w:rsidR="00CF58D4" w:rsidRDefault="00CF58D4" w:rsidP="00CF58D4">
      <w:pPr>
        <w:pStyle w:val="ListParagraph"/>
        <w:numPr>
          <w:ilvl w:val="0"/>
          <w:numId w:val="2"/>
        </w:numPr>
      </w:pPr>
      <w:r w:rsidRPr="00CF58D4">
        <w:rPr>
          <w:rFonts w:cstheme="minorHAnsi"/>
          <w:color w:val="001489"/>
        </w:rPr>
        <w:t>[organisation]</w:t>
      </w:r>
      <w:r>
        <w:t xml:space="preserve"> is permitted to pay recurring invoices and payments by either direct debit or automatic payment.  These authorities are to be authorised by two </w:t>
      </w:r>
      <w:proofErr w:type="gramStart"/>
      <w:r>
        <w:t>signatories</w:t>
      </w:r>
      <w:proofErr w:type="gramEnd"/>
    </w:p>
    <w:p w14:paraId="78DD15B3" w14:textId="2733F31E" w:rsidR="00CF58D4" w:rsidRDefault="00CF58D4" w:rsidP="00CF58D4">
      <w:pPr>
        <w:pStyle w:val="ListParagraph"/>
        <w:numPr>
          <w:ilvl w:val="0"/>
          <w:numId w:val="2"/>
        </w:numPr>
      </w:pPr>
      <w:r>
        <w:t xml:space="preserve">Cash payments are to be avoided, with the exception of minor petty cash </w:t>
      </w:r>
      <w:proofErr w:type="gramStart"/>
      <w:r>
        <w:t>payments</w:t>
      </w:r>
      <w:proofErr w:type="gramEnd"/>
      <w:r>
        <w:t xml:space="preserve"> </w:t>
      </w:r>
    </w:p>
    <w:p w14:paraId="54965D4D" w14:textId="62840F8A" w:rsidR="00CF58D4" w:rsidRDefault="00CF58D4" w:rsidP="00CF58D4">
      <w:pPr>
        <w:pStyle w:val="ListParagraph"/>
        <w:numPr>
          <w:ilvl w:val="0"/>
          <w:numId w:val="2"/>
        </w:numPr>
      </w:pPr>
      <w:r>
        <w:t xml:space="preserve">Any cash received should be kept securely and banked within three working days. Banking should be more frequent if amounts held are </w:t>
      </w:r>
      <w:proofErr w:type="gramStart"/>
      <w:r>
        <w:t>significant</w:t>
      </w:r>
      <w:proofErr w:type="gramEnd"/>
    </w:p>
    <w:p w14:paraId="278634C2" w14:textId="304A091C" w:rsidR="00CF58D4" w:rsidRDefault="00CF58D4" w:rsidP="00CF58D4">
      <w:pPr>
        <w:pStyle w:val="ListParagraph"/>
        <w:numPr>
          <w:ilvl w:val="0"/>
          <w:numId w:val="2"/>
        </w:numPr>
      </w:pPr>
      <w:r>
        <w:t xml:space="preserve">Bank accounts should be reconciled at minimum </w:t>
      </w:r>
      <w:proofErr w:type="gramStart"/>
      <w:r>
        <w:t>weekly</w:t>
      </w:r>
      <w:proofErr w:type="gramEnd"/>
    </w:p>
    <w:p w14:paraId="62A2AB86" w14:textId="778388A2" w:rsidR="00CF58D4" w:rsidRDefault="00CF58D4" w:rsidP="00CF58D4">
      <w:pPr>
        <w:pStyle w:val="ListParagraph"/>
        <w:numPr>
          <w:ilvl w:val="0"/>
          <w:numId w:val="2"/>
        </w:numPr>
      </w:pPr>
      <w:r w:rsidRPr="00CF58D4">
        <w:rPr>
          <w:rFonts w:cstheme="minorHAnsi"/>
          <w:color w:val="001489"/>
        </w:rPr>
        <w:t>[organisation]</w:t>
      </w:r>
      <w:r>
        <w:t xml:space="preserve"> will maintain a minimum cash reserve, in a separate bank account or term deposit to operating funds, which will be dictated by the Board, at all </w:t>
      </w:r>
      <w:proofErr w:type="gramStart"/>
      <w:r>
        <w:t>times</w:t>
      </w:r>
      <w:proofErr w:type="gramEnd"/>
    </w:p>
    <w:p w14:paraId="159B2499" w14:textId="472CE482" w:rsidR="00CF58D4" w:rsidRDefault="00CF58D4" w:rsidP="00CF58D4">
      <w:pPr>
        <w:pStyle w:val="ListParagraph"/>
        <w:numPr>
          <w:ilvl w:val="0"/>
          <w:numId w:val="2"/>
        </w:numPr>
      </w:pPr>
      <w:r w:rsidRPr="00CF58D4">
        <w:rPr>
          <w:rFonts w:cstheme="minorHAnsi"/>
          <w:color w:val="001489"/>
        </w:rPr>
        <w:t>[organisation]</w:t>
      </w:r>
      <w:r>
        <w:t xml:space="preserve">’s banks terms and conditions must be </w:t>
      </w:r>
      <w:proofErr w:type="gramStart"/>
      <w:r>
        <w:t>adhered to at all times</w:t>
      </w:r>
      <w:proofErr w:type="gramEnd"/>
      <w:r>
        <w:t xml:space="preserve">. </w:t>
      </w:r>
    </w:p>
    <w:p w14:paraId="7BD7D127" w14:textId="63086F58" w:rsidR="00CF58D4" w:rsidRDefault="00CF58D4" w:rsidP="00CF58D4">
      <w:pPr>
        <w:pStyle w:val="ListParagraph"/>
        <w:numPr>
          <w:ilvl w:val="0"/>
          <w:numId w:val="2"/>
        </w:numPr>
      </w:pPr>
      <w:r>
        <w:t xml:space="preserve">No EFTPOS cards are to be issued or linked to any of </w:t>
      </w:r>
      <w:r w:rsidRPr="00CF58D4">
        <w:rPr>
          <w:rFonts w:cstheme="minorHAnsi"/>
          <w:color w:val="001489"/>
        </w:rPr>
        <w:t>[organisation]</w:t>
      </w:r>
      <w:r>
        <w:t xml:space="preserve">’s bank </w:t>
      </w:r>
      <w:proofErr w:type="gramStart"/>
      <w:r>
        <w:t>accounts</w:t>
      </w:r>
      <w:proofErr w:type="gramEnd"/>
      <w:r>
        <w:t xml:space="preserve"> </w:t>
      </w:r>
    </w:p>
    <w:p w14:paraId="217FC1A0" w14:textId="77777777" w:rsidR="00CF58D4" w:rsidRDefault="00CF58D4" w:rsidP="00CF58D4">
      <w:r>
        <w:t xml:space="preserve">The </w:t>
      </w:r>
      <w:r w:rsidRPr="00CF58D4">
        <w:rPr>
          <w:rFonts w:cstheme="minorHAnsi"/>
          <w:color w:val="001489"/>
        </w:rPr>
        <w:t>[organisation]</w:t>
      </w:r>
      <w:r>
        <w:t>’s CFO / Finance Manager will:</w:t>
      </w:r>
    </w:p>
    <w:p w14:paraId="3D33E5BA" w14:textId="4FCFDF99" w:rsidR="00CF58D4" w:rsidRDefault="00CF58D4" w:rsidP="00CF58D4">
      <w:pPr>
        <w:pStyle w:val="ListParagraph"/>
        <w:numPr>
          <w:ilvl w:val="0"/>
          <w:numId w:val="4"/>
        </w:numPr>
      </w:pPr>
      <w:r>
        <w:t xml:space="preserve">Maintain a register of the holders of the </w:t>
      </w:r>
      <w:r w:rsidRPr="00CF58D4">
        <w:rPr>
          <w:rFonts w:cstheme="minorHAnsi"/>
          <w:color w:val="001489"/>
        </w:rPr>
        <w:t>[organisation]</w:t>
      </w:r>
      <w:r>
        <w:t xml:space="preserve">’s authority to operate the bank </w:t>
      </w:r>
      <w:proofErr w:type="gramStart"/>
      <w:r>
        <w:t>accounts</w:t>
      </w:r>
      <w:proofErr w:type="gramEnd"/>
    </w:p>
    <w:p w14:paraId="0B00D8CE" w14:textId="0FE37E62" w:rsidR="00CF58D4" w:rsidRDefault="00CF58D4" w:rsidP="00CF58D4">
      <w:pPr>
        <w:pStyle w:val="ListParagraph"/>
        <w:numPr>
          <w:ilvl w:val="0"/>
          <w:numId w:val="4"/>
        </w:numPr>
      </w:pPr>
      <w:r>
        <w:t xml:space="preserve">Review and reapprove any direct debit or automatic payments </w:t>
      </w:r>
      <w:proofErr w:type="gramStart"/>
      <w:r>
        <w:t>annually</w:t>
      </w:r>
      <w:proofErr w:type="gramEnd"/>
    </w:p>
    <w:p w14:paraId="3A8A0E35" w14:textId="3FA17C85" w:rsidR="00CF58D4" w:rsidRDefault="00CF58D4" w:rsidP="00CF58D4">
      <w:pPr>
        <w:pStyle w:val="ListParagraph"/>
        <w:numPr>
          <w:ilvl w:val="0"/>
          <w:numId w:val="4"/>
        </w:numPr>
      </w:pPr>
      <w:r>
        <w:t xml:space="preserve">Ensure access to </w:t>
      </w:r>
      <w:r w:rsidRPr="007922E5">
        <w:rPr>
          <w:rFonts w:cstheme="minorHAnsi"/>
          <w:color w:val="001489"/>
        </w:rPr>
        <w:t>[organisation]</w:t>
      </w:r>
      <w:r>
        <w:t xml:space="preserve">’s bank accounts are removed promptly when finance staff </w:t>
      </w:r>
      <w:proofErr w:type="gramStart"/>
      <w:r>
        <w:t>change</w:t>
      </w:r>
      <w:proofErr w:type="gramEnd"/>
    </w:p>
    <w:p w14:paraId="5D4FEA02" w14:textId="4A03D280" w:rsidR="00CF58D4" w:rsidRDefault="00CF58D4" w:rsidP="00CF58D4">
      <w:pPr>
        <w:pStyle w:val="ListParagraph"/>
        <w:numPr>
          <w:ilvl w:val="0"/>
          <w:numId w:val="4"/>
        </w:numPr>
      </w:pPr>
      <w:r>
        <w:t xml:space="preserve">Ensure any new bank accounts opened are linked to the financial system </w:t>
      </w:r>
      <w:proofErr w:type="gramStart"/>
      <w:r>
        <w:t>promptly</w:t>
      </w:r>
      <w:proofErr w:type="gramEnd"/>
    </w:p>
    <w:p w14:paraId="5A6CC43E" w14:textId="77777777" w:rsidR="00CF58D4" w:rsidRDefault="00CF58D4" w:rsidP="00CF58D4">
      <w:pPr>
        <w:pStyle w:val="Heading3"/>
      </w:pPr>
      <w:r>
        <w:t>Policy Implementation and Related Procedure Documents</w:t>
      </w:r>
      <w:r>
        <w:tab/>
      </w:r>
    </w:p>
    <w:p w14:paraId="5DD13800" w14:textId="04765BD7" w:rsidR="00CF58D4" w:rsidRDefault="00CF58D4" w:rsidP="00CF58D4">
      <w:r>
        <w:br/>
        <w:t xml:space="preserve">The implementation and review of these Bank Account policies are the responsibility of </w:t>
      </w:r>
      <w:r w:rsidRPr="00CF58D4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3E5E39B5" w14:textId="77777777" w:rsidR="00CF58D4" w:rsidRDefault="00CF58D4" w:rsidP="00CF58D4">
      <w:r>
        <w:lastRenderedPageBreak/>
        <w:t xml:space="preserve">The </w:t>
      </w:r>
      <w:r w:rsidRPr="00CF58D4">
        <w:rPr>
          <w:rFonts w:cstheme="minorHAnsi"/>
          <w:color w:val="001489"/>
        </w:rPr>
        <w:t>[organisation]</w:t>
      </w:r>
      <w:r>
        <w:t>’s CFO / Finance Manager is responsible for the implementation, review and monitoring of the systems and procedures relating to bank accounts.  These should be in accordance with Section 1 of the Financial Policies.</w:t>
      </w:r>
    </w:p>
    <w:p w14:paraId="3FD8A933" w14:textId="77777777" w:rsidR="00CF58D4" w:rsidRDefault="00CF58D4" w:rsidP="00CF58D4">
      <w:r>
        <w:t xml:space="preserve">The following </w:t>
      </w:r>
      <w:r w:rsidRPr="00CF58D4">
        <w:rPr>
          <w:rFonts w:cstheme="minorHAnsi"/>
          <w:color w:val="001489"/>
        </w:rPr>
        <w:t>[organisation]</w:t>
      </w:r>
      <w:r>
        <w:t xml:space="preserve"> policies and frameworks should also be referred to in this regard:</w:t>
      </w:r>
    </w:p>
    <w:p w14:paraId="75DFD833" w14:textId="4E4F24B9" w:rsidR="00CF58D4" w:rsidRDefault="00CF58D4" w:rsidP="00CF58D4">
      <w:pPr>
        <w:pStyle w:val="ListParagraph"/>
        <w:numPr>
          <w:ilvl w:val="1"/>
          <w:numId w:val="2"/>
        </w:numPr>
      </w:pPr>
      <w:r>
        <w:t>Finance Manual</w:t>
      </w:r>
    </w:p>
    <w:p w14:paraId="27761217" w14:textId="65802150" w:rsidR="00CF58D4" w:rsidRDefault="00CF58D4" w:rsidP="00CF58D4">
      <w:pPr>
        <w:pStyle w:val="ListParagraph"/>
        <w:numPr>
          <w:ilvl w:val="1"/>
          <w:numId w:val="2"/>
        </w:numPr>
      </w:pPr>
      <w:r>
        <w:t>Bank’s terms and conditions</w:t>
      </w:r>
    </w:p>
    <w:p w14:paraId="77A0D60B" w14:textId="08DD652E" w:rsidR="00CF58D4" w:rsidRDefault="00CF58D4" w:rsidP="00CF58D4">
      <w:pPr>
        <w:pStyle w:val="ListParagraph"/>
        <w:numPr>
          <w:ilvl w:val="1"/>
          <w:numId w:val="2"/>
        </w:numPr>
      </w:pPr>
      <w:r>
        <w:t>Petty Cash &amp; Expense Claims Policy</w:t>
      </w:r>
    </w:p>
    <w:p w14:paraId="70404E18" w14:textId="17A9885A" w:rsidR="00CF58D4" w:rsidRDefault="00CF58D4" w:rsidP="00CF58D4">
      <w:pPr>
        <w:pStyle w:val="ListParagraph"/>
        <w:numPr>
          <w:ilvl w:val="1"/>
          <w:numId w:val="2"/>
        </w:numPr>
      </w:pPr>
      <w:r>
        <w:t>Fraud Policy</w:t>
      </w:r>
    </w:p>
    <w:p w14:paraId="6E00D059" w14:textId="57F9775A" w:rsidR="00CF58D4" w:rsidRDefault="00CF58D4" w:rsidP="00CF58D4">
      <w:pPr>
        <w:pStyle w:val="ListParagraph"/>
        <w:numPr>
          <w:ilvl w:val="1"/>
          <w:numId w:val="2"/>
        </w:numPr>
      </w:pPr>
      <w:r>
        <w:t>Revenue &amp; Receipting Policy</w:t>
      </w:r>
    </w:p>
    <w:p w14:paraId="3045DA3F" w14:textId="4569067D" w:rsidR="00CF58D4" w:rsidRDefault="00CF58D4" w:rsidP="00CF58D4">
      <w:pPr>
        <w:pStyle w:val="ListParagraph"/>
        <w:numPr>
          <w:ilvl w:val="1"/>
          <w:numId w:val="2"/>
        </w:numPr>
      </w:pPr>
      <w:r>
        <w:t>Purchasing &amp; Payables Policy</w:t>
      </w:r>
    </w:p>
    <w:p w14:paraId="42CE8283" w14:textId="4BADF962" w:rsidR="00CF58D4" w:rsidRDefault="00CF58D4" w:rsidP="00CF58D4">
      <w:pPr>
        <w:pStyle w:val="Heading3"/>
      </w:pPr>
      <w:r>
        <w:t>Legislative Compliance Considerations</w:t>
      </w:r>
      <w:r>
        <w:br/>
      </w:r>
      <w:r>
        <w:tab/>
      </w:r>
    </w:p>
    <w:p w14:paraId="02D27CBB" w14:textId="1C19C02C" w:rsidR="00CF58D4" w:rsidRDefault="00CF58D4" w:rsidP="00CF58D4">
      <w:pPr>
        <w:pStyle w:val="ListParagraph"/>
        <w:numPr>
          <w:ilvl w:val="1"/>
          <w:numId w:val="2"/>
        </w:numPr>
      </w:pPr>
      <w:r>
        <w:t>Companies Act 1993 [if a Company]</w:t>
      </w:r>
    </w:p>
    <w:p w14:paraId="6007BD3E" w14:textId="53CB5E46" w:rsidR="00CF58D4" w:rsidRDefault="00CF58D4" w:rsidP="00CF58D4">
      <w:pPr>
        <w:pStyle w:val="ListParagraph"/>
        <w:numPr>
          <w:ilvl w:val="1"/>
          <w:numId w:val="2"/>
        </w:numPr>
      </w:pPr>
      <w:r>
        <w:t>Constitution [if a Company]</w:t>
      </w:r>
    </w:p>
    <w:p w14:paraId="23F3CCEB" w14:textId="25694AEC" w:rsidR="00CF58D4" w:rsidRDefault="00CF58D4" w:rsidP="00CF58D4">
      <w:pPr>
        <w:pStyle w:val="ListParagraph"/>
        <w:numPr>
          <w:ilvl w:val="1"/>
          <w:numId w:val="2"/>
        </w:numPr>
      </w:pPr>
      <w:r>
        <w:t>Incorporated Societies Act 1908 [if an Incorporated Society]</w:t>
      </w:r>
    </w:p>
    <w:p w14:paraId="5B09123C" w14:textId="2C189D84" w:rsidR="00CF58D4" w:rsidRDefault="00CF58D4" w:rsidP="00CF58D4">
      <w:pPr>
        <w:pStyle w:val="ListParagraph"/>
        <w:numPr>
          <w:ilvl w:val="1"/>
          <w:numId w:val="2"/>
        </w:numPr>
      </w:pPr>
      <w:r>
        <w:t>Incorporated Societies Act 2022 [applicable if an Incorporated Society registered under the new Act. Reregistration is available from 5 October 2023]</w:t>
      </w:r>
    </w:p>
    <w:p w14:paraId="060D70DA" w14:textId="0D4DE9BB" w:rsidR="00CF58D4" w:rsidRDefault="00CF58D4" w:rsidP="00CF58D4">
      <w:pPr>
        <w:pStyle w:val="ListParagraph"/>
        <w:numPr>
          <w:ilvl w:val="1"/>
          <w:numId w:val="2"/>
        </w:numPr>
      </w:pPr>
      <w:r>
        <w:t>Incorporated Society Rules [if an incorporated society registered under the 1908 Act]</w:t>
      </w:r>
    </w:p>
    <w:p w14:paraId="4CAF01A2" w14:textId="4D7CB83D" w:rsidR="00CF58D4" w:rsidRDefault="00CF58D4" w:rsidP="00CF58D4">
      <w:pPr>
        <w:pStyle w:val="ListParagraph"/>
        <w:numPr>
          <w:ilvl w:val="1"/>
          <w:numId w:val="2"/>
        </w:numPr>
      </w:pPr>
      <w:r>
        <w:t>Incorporated Society Constitution [if an Incorporated Society registered under the 2022 Act]</w:t>
      </w:r>
    </w:p>
    <w:p w14:paraId="70DE84A8" w14:textId="12ACBB77" w:rsidR="00CF58D4" w:rsidRDefault="00CF58D4" w:rsidP="00CF58D4">
      <w:pPr>
        <w:pStyle w:val="ListParagraph"/>
        <w:numPr>
          <w:ilvl w:val="1"/>
          <w:numId w:val="2"/>
        </w:numPr>
      </w:pPr>
      <w:r>
        <w:t>Trust Deed [if a Trust]</w:t>
      </w:r>
    </w:p>
    <w:p w14:paraId="239414F3" w14:textId="5867A7B6" w:rsidR="00CF58D4" w:rsidRDefault="00CF58D4" w:rsidP="00CF58D4">
      <w:pPr>
        <w:pStyle w:val="ListParagraph"/>
        <w:numPr>
          <w:ilvl w:val="1"/>
          <w:numId w:val="2"/>
        </w:numPr>
      </w:pPr>
      <w:r>
        <w:t>Trusts Act 2019 [if a Trust]</w:t>
      </w:r>
    </w:p>
    <w:p w14:paraId="02F461C2" w14:textId="3BE7580D" w:rsidR="00CF58D4" w:rsidRDefault="00CF58D4" w:rsidP="00CF58D4">
      <w:pPr>
        <w:pStyle w:val="ListParagraph"/>
        <w:numPr>
          <w:ilvl w:val="1"/>
          <w:numId w:val="2"/>
        </w:numPr>
      </w:pPr>
      <w:r>
        <w:t>Charities Act 2005 [if a registered Charity]</w:t>
      </w:r>
    </w:p>
    <w:p w14:paraId="57EBB9A8" w14:textId="71A4D779" w:rsidR="00AC5F2A" w:rsidRDefault="00CF58D4" w:rsidP="00CF58D4">
      <w:pPr>
        <w:pStyle w:val="Heading3"/>
      </w:pPr>
      <w:r>
        <w:t>Review Protocol</w:t>
      </w:r>
      <w:r>
        <w:br/>
      </w:r>
      <w:r>
        <w:tab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CF58D4" w:rsidRPr="000D0267" w14:paraId="1B1301B5" w14:textId="77777777" w:rsidTr="005E236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C421" w14:textId="77777777" w:rsidR="00CF58D4" w:rsidRPr="000D0267" w:rsidRDefault="00CF58D4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FB2F" w14:textId="77777777" w:rsidR="00CF58D4" w:rsidRPr="000D0267" w:rsidRDefault="00CF58D4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CF58D4" w:rsidRPr="000D0267" w14:paraId="05894DE7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91B" w14:textId="77777777" w:rsidR="00CF58D4" w:rsidRPr="000D0267" w:rsidRDefault="00CF58D4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6E2B" w14:textId="77777777" w:rsidR="00CF58D4" w:rsidRPr="000D0267" w:rsidRDefault="00CF58D4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CF58D4" w:rsidRPr="000D0267" w14:paraId="3B041E75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4824" w14:textId="77777777" w:rsidR="00CF58D4" w:rsidRPr="000D0267" w:rsidRDefault="00CF58D4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9A3F" w14:textId="77777777" w:rsidR="00CF58D4" w:rsidRPr="000D0267" w:rsidRDefault="00CF58D4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CF58D4" w:rsidRPr="000D0267" w14:paraId="5D932950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317E" w14:textId="77777777" w:rsidR="00CF58D4" w:rsidRPr="000D0267" w:rsidRDefault="00CF58D4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116" w14:textId="77777777" w:rsidR="00CF58D4" w:rsidRPr="000D0267" w:rsidRDefault="00CF58D4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16CFF9CC" w14:textId="77777777" w:rsidR="00CF58D4" w:rsidRPr="00CF58D4" w:rsidRDefault="00CF58D4" w:rsidP="00CF58D4"/>
    <w:sectPr w:rsidR="00CF58D4" w:rsidRPr="00CF58D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4386" w14:textId="77777777" w:rsidR="0038158A" w:rsidRDefault="0038158A" w:rsidP="0038158A">
      <w:pPr>
        <w:spacing w:after="0" w:line="240" w:lineRule="auto"/>
      </w:pPr>
      <w:r>
        <w:separator/>
      </w:r>
    </w:p>
  </w:endnote>
  <w:endnote w:type="continuationSeparator" w:id="0">
    <w:p w14:paraId="5DAD8758" w14:textId="77777777" w:rsidR="0038158A" w:rsidRDefault="0038158A" w:rsidP="0038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17BA" w14:textId="77777777" w:rsidR="0038158A" w:rsidRDefault="0038158A" w:rsidP="0038158A">
      <w:pPr>
        <w:spacing w:after="0" w:line="240" w:lineRule="auto"/>
      </w:pPr>
      <w:r>
        <w:separator/>
      </w:r>
    </w:p>
  </w:footnote>
  <w:footnote w:type="continuationSeparator" w:id="0">
    <w:p w14:paraId="6C442807" w14:textId="77777777" w:rsidR="0038158A" w:rsidRDefault="0038158A" w:rsidP="0038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5D29" w14:textId="058F85BE" w:rsidR="0038158A" w:rsidRDefault="0038158A" w:rsidP="0038158A">
    <w:pPr>
      <w:pStyle w:val="Header"/>
    </w:pPr>
    <w:r>
      <w:t>{INSERT ORGANISATION LOGO}</w:t>
    </w:r>
  </w:p>
  <w:p w14:paraId="1CF6B6B2" w14:textId="643CA4EA" w:rsidR="0038158A" w:rsidRDefault="0038158A">
    <w:pPr>
      <w:pStyle w:val="Header"/>
    </w:pPr>
  </w:p>
  <w:p w14:paraId="2EB3AB18" w14:textId="77777777" w:rsidR="0038158A" w:rsidRDefault="00381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E5C"/>
    <w:multiLevelType w:val="hybridMultilevel"/>
    <w:tmpl w:val="6F4C57F8"/>
    <w:lvl w:ilvl="0" w:tplc="1486DFA2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445"/>
    <w:multiLevelType w:val="hybridMultilevel"/>
    <w:tmpl w:val="7F3451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209E"/>
    <w:multiLevelType w:val="hybridMultilevel"/>
    <w:tmpl w:val="16669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7601"/>
    <w:multiLevelType w:val="hybridMultilevel"/>
    <w:tmpl w:val="8788D7D4"/>
    <w:lvl w:ilvl="0" w:tplc="6602D11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72F0"/>
    <w:multiLevelType w:val="hybridMultilevel"/>
    <w:tmpl w:val="F7C86C42"/>
    <w:lvl w:ilvl="0" w:tplc="6602D11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7580BE0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D6ECD"/>
    <w:multiLevelType w:val="hybridMultilevel"/>
    <w:tmpl w:val="F40E6FDE"/>
    <w:lvl w:ilvl="0" w:tplc="17580BE0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07346">
    <w:abstractNumId w:val="1"/>
  </w:num>
  <w:num w:numId="2" w16cid:durableId="1240093049">
    <w:abstractNumId w:val="4"/>
  </w:num>
  <w:num w:numId="3" w16cid:durableId="1211072218">
    <w:abstractNumId w:val="3"/>
  </w:num>
  <w:num w:numId="4" w16cid:durableId="1119496413">
    <w:abstractNumId w:val="0"/>
  </w:num>
  <w:num w:numId="5" w16cid:durableId="386416424">
    <w:abstractNumId w:val="2"/>
  </w:num>
  <w:num w:numId="6" w16cid:durableId="1823618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D4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56D94"/>
    <w:rsid w:val="0036431B"/>
    <w:rsid w:val="0038158A"/>
    <w:rsid w:val="003965A1"/>
    <w:rsid w:val="003B7EA1"/>
    <w:rsid w:val="003C19CC"/>
    <w:rsid w:val="003C3C29"/>
    <w:rsid w:val="003C407A"/>
    <w:rsid w:val="003C71F4"/>
    <w:rsid w:val="003C7E69"/>
    <w:rsid w:val="003D47FA"/>
    <w:rsid w:val="003D709B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922E5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CF58D4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CABD54"/>
  <w15:chartTrackingRefBased/>
  <w15:docId w15:val="{B8E8B43A-D0BC-43AA-9750-E58DA7CD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8D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5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58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58A"/>
  </w:style>
  <w:style w:type="paragraph" w:styleId="Footer">
    <w:name w:val="footer"/>
    <w:basedOn w:val="Normal"/>
    <w:link w:val="FooterChar"/>
    <w:uiPriority w:val="99"/>
    <w:unhideWhenUsed/>
    <w:rsid w:val="00381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F79414A9-7829-4A76-89B9-E1B86AE26129}"/>
</file>

<file path=customXml/itemProps2.xml><?xml version="1.0" encoding="utf-8"?>
<ds:datastoreItem xmlns:ds="http://schemas.openxmlformats.org/officeDocument/2006/customXml" ds:itemID="{F2ECE0AB-29B5-4D42-9ABC-D69148E408EE}"/>
</file>

<file path=customXml/itemProps3.xml><?xml version="1.0" encoding="utf-8"?>
<ds:datastoreItem xmlns:ds="http://schemas.openxmlformats.org/officeDocument/2006/customXml" ds:itemID="{64A117DE-02F5-4DAF-8E2E-2A77F840E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3</cp:revision>
  <dcterms:created xsi:type="dcterms:W3CDTF">2023-09-28T01:17:00Z</dcterms:created>
  <dcterms:modified xsi:type="dcterms:W3CDTF">2023-09-28T23:11:00Z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